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917-5_4seq1.xml.htm"/>
      <w:bookmarkStart w:id="1" w:name="kstm26269175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Stratton John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ABBOTT PARK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ABBOTT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ABBOTT LABORATORIES</w:t>
              </w:r>
            </w:hyperlink>
            <w:r>
              <w:rPr/>
              <w:t xml:space="preserve"> [ </w:t>
            </w:r>
            <w:r>
              <w:rPr>
                <w:rFonts w:ascii="Times;serif" w:hAnsi="Times;serif"/>
                <w:color w:val="0000FF"/>
                <w:sz w:val="24"/>
                <w:shd w:fill="FFFFFF" w:val="clear"/>
              </w:rPr>
              <w:t>ABT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397</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98.83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14,499</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 stock equivalent unit account under a grantor trust established by the director and paid, in cash, generally at age 65 or upon retirement from the board. The stock equivalent units earn the same return as if the fees were invested in Abbott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G. Stratton by Jessica H. Paik,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5262" TargetMode="External"/><Relationship Id="rId5" Type="http://schemas.openxmlformats.org/officeDocument/2006/relationships/hyperlink" Target="http://www.sec.gov/cgi-bin/browse-edgar?action=getcompany&amp;CIK=0000001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3413</Characters>
  <CharactersWithSpaces>3975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