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19"/>
        <w:spacing w:after="0"/>
        <w:rPr>
          <w:sz w:val="20"/>
          <w:szCs w:val="20"/>
          <w:color w:val="auto"/>
        </w:rPr>
      </w:pPr>
      <w:r>
        <w:rPr>
          <w:rFonts w:ascii="Arial" w:cs="Arial" w:eastAsia="Arial" w:hAnsi="Arial"/>
          <w:sz w:val="32"/>
          <w:szCs w:val="32"/>
          <w:b w:val="1"/>
          <w:bCs w:val="1"/>
          <w:color w:val="auto"/>
        </w:rPr>
        <w:t>UNITED STATES</w:t>
      </w:r>
    </w:p>
    <w:p>
      <w:pPr>
        <w:spacing w:after="0" w:line="29"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SECURITIES AND EXCHANGE</w:t>
      </w:r>
    </w:p>
    <w:p>
      <w:pPr>
        <w:jc w:val="center"/>
        <w:ind w:right="-619"/>
        <w:spacing w:after="0"/>
        <w:rPr>
          <w:sz w:val="20"/>
          <w:szCs w:val="20"/>
          <w:color w:val="auto"/>
        </w:rPr>
      </w:pPr>
      <w:r>
        <w:rPr>
          <w:rFonts w:ascii="Arial" w:cs="Arial" w:eastAsia="Arial" w:hAnsi="Arial"/>
          <w:sz w:val="32"/>
          <w:szCs w:val="32"/>
          <w:b w:val="1"/>
          <w:bCs w:val="1"/>
          <w:color w:val="auto"/>
        </w:rPr>
        <w:t>COMMISSION</w:t>
      </w:r>
    </w:p>
    <w:p>
      <w:pPr>
        <w:spacing w:after="0" w:line="4"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Washington, D.C. 20549</w:t>
      </w:r>
    </w:p>
    <w:p>
      <w:pPr>
        <w:spacing w:after="0" w:line="182" w:lineRule="exact"/>
        <w:rPr>
          <w:sz w:val="24"/>
          <w:szCs w:val="24"/>
          <w:color w:val="auto"/>
        </w:rPr>
      </w:pPr>
    </w:p>
    <w:p>
      <w:pPr>
        <w:ind w:left="4440"/>
        <w:spacing w:after="0"/>
        <w:rPr>
          <w:sz w:val="20"/>
          <w:szCs w:val="20"/>
          <w:color w:val="auto"/>
        </w:rPr>
      </w:pPr>
      <w:r>
        <w:rPr>
          <w:rFonts w:ascii="Arial" w:cs="Arial" w:eastAsia="Arial" w:hAnsi="Arial"/>
          <w:sz w:val="32"/>
          <w:szCs w:val="32"/>
          <w:b w:val="1"/>
          <w:bCs w:val="1"/>
          <w:color w:val="auto"/>
        </w:rPr>
        <w:t>SCHEDULE 13D</w:t>
      </w:r>
    </w:p>
    <w:p>
      <w:pPr>
        <w:spacing w:after="0" w:line="303"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(Amendment No. 1)*</w:t>
      </w:r>
    </w:p>
    <w:p>
      <w:pPr>
        <w:spacing w:after="0" w:line="265"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Inverness Medical Innovations,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32385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(Name of Issuer)</w:t>
      </w:r>
    </w:p>
    <w:p>
      <w:pPr>
        <w:spacing w:after="0" w:line="21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54"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46126P 10 6</w:t>
      </w:r>
    </w:p>
    <w:p>
      <w:pPr>
        <w:spacing w:after="0" w:line="54"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Jose M. de Lasa, 100 Abbott Park Road</w:t>
      </w:r>
    </w:p>
    <w:p>
      <w:pPr>
        <w:spacing w:after="0" w:line="2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Abbott Park, Illinois 60064-6049; Phone 847-937-8905</w:t>
      </w:r>
    </w:p>
    <w:p>
      <w:pPr>
        <w:spacing w:after="0" w:line="22"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(Name, Address and Telephone Number of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Authorized to Receive Notices and Communications)</w:t>
      </w:r>
    </w:p>
    <w:p>
      <w:pPr>
        <w:spacing w:after="0" w:line="20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December 13, 2004</w:t>
      </w:r>
    </w:p>
    <w:p>
      <w:pPr>
        <w:spacing w:after="0" w:line="54"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ind w:left="600"/>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§§240.13d-1(e), 240.13d-1(f) or 240.13d-1(g), check the following box. o</w:t>
      </w:r>
    </w:p>
    <w:p>
      <w:pPr>
        <w:spacing w:after="0" w:line="31" w:lineRule="exact"/>
        <w:rPr>
          <w:sz w:val="24"/>
          <w:szCs w:val="24"/>
          <w:color w:val="auto"/>
        </w:rPr>
      </w:pPr>
    </w:p>
    <w:p>
      <w:pPr>
        <w:ind w:left="600" w:right="6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§240.13d-7</w:t>
      </w:r>
      <w:r>
        <w:rPr>
          <w:rFonts w:ascii="Arial" w:cs="Arial" w:eastAsia="Arial" w:hAnsi="Arial"/>
          <w:sz w:val="18"/>
          <w:szCs w:val="18"/>
          <w:b w:val="1"/>
          <w:bCs w:val="1"/>
          <w:color w:val="auto"/>
        </w:rPr>
        <w:t xml:space="preserve"> </w:t>
      </w:r>
      <w:r>
        <w:rPr>
          <w:rFonts w:ascii="Arial" w:cs="Arial" w:eastAsia="Arial" w:hAnsi="Arial"/>
          <w:sz w:val="18"/>
          <w:szCs w:val="18"/>
          <w:color w:val="auto"/>
        </w:rPr>
        <w:t>for other parties to whom copies are to be sent.</w:t>
      </w:r>
    </w:p>
    <w:p>
      <w:pPr>
        <w:spacing w:after="0" w:line="125" w:lineRule="exact"/>
        <w:rPr>
          <w:sz w:val="24"/>
          <w:szCs w:val="24"/>
          <w:color w:val="auto"/>
        </w:rPr>
      </w:pPr>
    </w:p>
    <w:p>
      <w:pPr>
        <w:ind w:left="600" w:right="200" w:hanging="4"/>
        <w:spacing w:after="0" w:line="198" w:lineRule="auto"/>
        <w:tabs>
          <w:tab w:leader="none" w:pos="735" w:val="left"/>
        </w:tabs>
        <w:numPr>
          <w:ilvl w:val="0"/>
          <w:numId w:val="1"/>
        </w:numPr>
        <w:rPr>
          <w:rFonts w:ascii="Arial" w:cs="Arial" w:eastAsia="Arial" w:hAnsi="Arial"/>
          <w:sz w:val="31"/>
          <w:szCs w:val="31"/>
          <w:color w:val="auto"/>
          <w:vertAlign w:val="superscript"/>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81" w:lineRule="exact"/>
        <w:rPr>
          <w:sz w:val="24"/>
          <w:szCs w:val="24"/>
          <w:color w:val="auto"/>
        </w:rPr>
      </w:pPr>
    </w:p>
    <w:p>
      <w:pPr>
        <w:ind w:left="600" w:right="380"/>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190500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spacing w:after="0"/>
        <w:rPr>
          <w:sz w:val="20"/>
          <w:szCs w:val="20"/>
          <w:color w:val="auto"/>
        </w:rPr>
      </w:pPr>
      <w:r>
        <w:rPr>
          <w:rFonts w:ascii="Arial" w:cs="Arial" w:eastAsia="Arial" w:hAnsi="Arial"/>
          <w:sz w:val="18"/>
          <w:szCs w:val="18"/>
          <w:color w:val="auto"/>
        </w:rPr>
        <w:t>CUSIP No.  46126P 10 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100330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040" w:right="3360" w:hanging="646"/>
        <w:spacing w:after="0" w:line="258" w:lineRule="auto"/>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 Abbott Laboratories</w:t>
      </w:r>
    </w:p>
    <w:p>
      <w:pPr>
        <w:spacing w:after="0" w:line="1"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IRS Identification No. 36-0698440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1040" w:hanging="646"/>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65" w:lineRule="exact"/>
        <w:rPr>
          <w:rFonts w:ascii="Arial" w:cs="Arial" w:eastAsia="Arial" w:hAnsi="Arial"/>
          <w:sz w:val="18"/>
          <w:szCs w:val="18"/>
          <w:color w:val="auto"/>
        </w:rPr>
      </w:pPr>
    </w:p>
    <w:p>
      <w:pPr>
        <w:ind w:left="2100" w:hanging="1058"/>
        <w:spacing w:after="0"/>
        <w:tabs>
          <w:tab w:leader="none" w:pos="210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98" w:lineRule="exact"/>
        <w:rPr>
          <w:rFonts w:ascii="Arial" w:cs="Arial" w:eastAsia="Arial" w:hAnsi="Arial"/>
          <w:sz w:val="18"/>
          <w:szCs w:val="18"/>
          <w:color w:val="auto"/>
        </w:rPr>
      </w:pPr>
    </w:p>
    <w:p>
      <w:pPr>
        <w:ind w:left="2100" w:hanging="1058"/>
        <w:spacing w:after="0"/>
        <w:tabs>
          <w:tab w:leader="none" w:pos="210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40" w:hanging="646"/>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1040" w:hanging="646"/>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627380</wp:posOffset>
            </wp:positionH>
            <wp:positionV relativeFrom="paragraph">
              <wp:posOffset>238125</wp:posOffset>
            </wp:positionV>
            <wp:extent cx="65862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-499110</wp:posOffset>
            </wp:positionV>
            <wp:extent cx="65862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1270635</wp:posOffset>
            </wp:positionH>
            <wp:positionV relativeFrom="paragraph">
              <wp:posOffset>-1099185</wp:posOffset>
            </wp:positionV>
            <wp:extent cx="59429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1270635</wp:posOffset>
            </wp:positionH>
            <wp:positionV relativeFrom="paragraph">
              <wp:posOffset>-1356360</wp:posOffset>
            </wp:positionV>
            <wp:extent cx="59429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-2205355</wp:posOffset>
            </wp:positionV>
            <wp:extent cx="65862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ectPr>
          <w:pgSz w:w="11900" w:h="16838" w:orient="portrait"/>
          <w:cols w:equalWidth="0" w:num="1">
            <w:col w:w="10680"/>
          </w:cols>
          <w:pgMar w:left="300" w:top="422" w:right="919" w:bottom="370" w:gutter="0" w:footer="0" w:header="0"/>
        </w:sectPr>
      </w:pPr>
    </w:p>
    <w:bookmarkStart w:id="1" w:name="page2"/>
    <w:bookmarkEnd w:id="1"/>
    <w:p>
      <w:pPr>
        <w:ind w:left="400"/>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tabs>
          <w:tab w:leader="none" w:pos="6280" w:val="left"/>
        </w:tabs>
        <w:rPr>
          <w:sz w:val="20"/>
          <w:szCs w:val="20"/>
          <w:color w:val="auto"/>
        </w:rPr>
      </w:pPr>
      <w:r>
        <w:rPr>
          <w:rFonts w:ascii="Arial" w:cs="Arial" w:eastAsia="Arial" w:hAnsi="Arial"/>
          <w:sz w:val="17"/>
          <w:szCs w:val="17"/>
          <w:color w:val="auto"/>
        </w:rPr>
        <w:t>Check if Disclosure of Legal Proceedings Is Required Pursuant to Items 2(d) or 2(e)</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107950</wp:posOffset>
            </wp:positionV>
            <wp:extent cx="65862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Illinois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91440</wp:posOffset>
            </wp:positionV>
            <wp:extent cx="65862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940" w:right="7900" w:hanging="506"/>
        <w:spacing w:after="0" w:line="277" w:lineRule="auto"/>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940" w:right="7720" w:hanging="506"/>
        <w:spacing w:after="0" w:line="277" w:lineRule="auto"/>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Voting Power 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940" w:right="7560" w:hanging="506"/>
        <w:spacing w:after="0" w:line="277" w:lineRule="auto"/>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wp:posOffset>
            </wp:positionH>
            <wp:positionV relativeFrom="paragraph">
              <wp:posOffset>66040</wp:posOffset>
            </wp:positionV>
            <wp:extent cx="59944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558800</wp:posOffset>
            </wp:positionH>
            <wp:positionV relativeFrom="paragraph">
              <wp:posOffset>-671195</wp:posOffset>
            </wp:positionV>
            <wp:extent cx="59944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558800</wp:posOffset>
            </wp:positionH>
            <wp:positionV relativeFrom="paragraph">
              <wp:posOffset>-1408430</wp:posOffset>
            </wp:positionV>
            <wp:extent cx="59944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80" w:space="160"/>
            <w:col w:w="10180"/>
          </w:cols>
          <w:pgMar w:left="300" w:top="287" w:right="379" w:bottom="0" w:gutter="0" w:footer="0" w:header="0"/>
        </w:sectPr>
      </w:pPr>
    </w:p>
    <w:p>
      <w:pPr>
        <w:spacing w:after="0" w:line="200" w:lineRule="exact"/>
        <w:rPr>
          <w:sz w:val="20"/>
          <w:szCs w:val="20"/>
          <w:color w:val="auto"/>
        </w:rPr>
      </w:pPr>
    </w:p>
    <w:p>
      <w:pPr>
        <w:spacing w:after="0" w:line="284" w:lineRule="exact"/>
        <w:rPr>
          <w:sz w:val="20"/>
          <w:szCs w:val="20"/>
          <w:color w:val="auto"/>
        </w:rPr>
      </w:pPr>
    </w:p>
    <w:p>
      <w:pPr>
        <w:ind w:left="1980" w:right="7380" w:hanging="506"/>
        <w:spacing w:after="0" w:line="277" w:lineRule="auto"/>
        <w:tabs>
          <w:tab w:leader="none" w:pos="1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1040" w:right="5380" w:hanging="646"/>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66040</wp:posOffset>
            </wp:positionV>
            <wp:extent cx="65862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1219200</wp:posOffset>
            </wp:positionH>
            <wp:positionV relativeFrom="paragraph">
              <wp:posOffset>-671195</wp:posOffset>
            </wp:positionV>
            <wp:extent cx="59944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0"/>
        <w:spacing w:after="0"/>
        <w:tabs>
          <w:tab w:leader="none" w:pos="10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if the Aggregate Amount in Row (11) Excludes Certain Shares (See Instructions)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100330</wp:posOffset>
            </wp:positionV>
            <wp:extent cx="65862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40" w:right="6300" w:hanging="646"/>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 (see Item 5 below)</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1040" w:hanging="646"/>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91440</wp:posOffset>
            </wp:positionV>
            <wp:extent cx="65862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-645160</wp:posOffset>
            </wp:positionV>
            <wp:extent cx="65862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3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73025</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amends and supplements the original Schedule 13D filed by Abbott Laboratories (“Abbott”) on October 10, 2003.</w:t>
      </w:r>
    </w:p>
    <w:p>
      <w:pPr>
        <w:spacing w:after="0" w:line="19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Security and Issuer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statement relates to shares of common stock, par value $0.001 per share (the “Common Stock”), of Inverness Medical Innovations, Inc.</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(“Inverness”), a Delaware corporate, whose principal executive offices are located at 51 Sawyer Road, Suite 200, Waltham, Massachusetts 02453.</w:t>
      </w:r>
    </w:p>
    <w:p>
      <w:pPr>
        <w:spacing w:after="0" w:line="19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18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(a-b) Abbott no longer owns any shares of the Common Stock and therefore has ceased to be the beneficial owner of more than five percent of the outstanding shares of Common Stock.</w:t>
      </w:r>
    </w:p>
    <w:p>
      <w:pPr>
        <w:spacing w:after="0" w:line="62" w:lineRule="exact"/>
        <w:rPr>
          <w:sz w:val="20"/>
          <w:szCs w:val="20"/>
          <w:color w:val="auto"/>
        </w:rPr>
      </w:pPr>
    </w:p>
    <w:p>
      <w:pPr>
        <w:ind w:left="1340" w:hanging="690"/>
        <w:spacing w:after="0"/>
        <w:tabs>
          <w:tab w:leader="none" w:pos="1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the past 60 days, Abbott has effected the following open market sales of the Common Stock on the American Stock Exchange:</w:t>
      </w:r>
    </w:p>
    <w:p>
      <w:pPr>
        <w:spacing w:after="0" w:line="282" w:lineRule="exact"/>
        <w:rPr>
          <w:sz w:val="20"/>
          <w:szCs w:val="20"/>
          <w:color w:val="auto"/>
        </w:rPr>
      </w:pPr>
    </w:p>
    <w:tbl>
      <w:tblPr>
        <w:tblLayout w:type="fixed"/>
        <w:tblInd w:w="280" w:type="dxa"/>
        <w:tblCellMar>
          <w:top w:w="0" w:type="dxa"/>
          <w:left w:w="0" w:type="dxa"/>
          <w:bottom w:w="0" w:type="dxa"/>
          <w:right w:w="0" w:type="dxa"/>
        </w:tblCellMar>
      </w:tblPr>
      <w:tr>
        <w:trPr>
          <w:trHeight w:val="171"/>
        </w:trPr>
        <w:tc>
          <w:tcPr>
            <w:tcW w:w="572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2660" w:type="dxa"/>
            <w:vAlign w:val="bottom"/>
            <w:gridSpan w:val="2"/>
          </w:tcPr>
          <w:p>
            <w:pPr>
              <w:ind w:left="420"/>
              <w:spacing w:after="0"/>
              <w:rPr>
                <w:sz w:val="20"/>
                <w:szCs w:val="20"/>
                <w:color w:val="auto"/>
              </w:rPr>
            </w:pPr>
            <w:r>
              <w:rPr>
                <w:rFonts w:ascii="Arial" w:cs="Arial" w:eastAsia="Arial" w:hAnsi="Arial"/>
                <w:sz w:val="14"/>
                <w:szCs w:val="14"/>
                <w:b w:val="1"/>
                <w:bCs w:val="1"/>
                <w:color w:val="auto"/>
              </w:rPr>
              <w:t>Number of Shares Sold</w:t>
            </w:r>
          </w:p>
        </w:tc>
        <w:tc>
          <w:tcPr>
            <w:tcW w:w="220" w:type="dxa"/>
            <w:vAlign w:val="bottom"/>
          </w:tcPr>
          <w:p>
            <w:pPr>
              <w:spacing w:after="0"/>
              <w:rPr>
                <w:sz w:val="14"/>
                <w:szCs w:val="14"/>
                <w:color w:val="auto"/>
              </w:rPr>
            </w:pPr>
          </w:p>
        </w:tc>
        <w:tc>
          <w:tcPr>
            <w:tcW w:w="22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8"/>
              </w:rPr>
              <w:t>Average Price Per Share</w:t>
            </w:r>
          </w:p>
        </w:tc>
      </w:tr>
      <w:tr>
        <w:trPr>
          <w:trHeight w:val="210"/>
        </w:trPr>
        <w:tc>
          <w:tcPr>
            <w:tcW w:w="5320" w:type="dxa"/>
            <w:vAlign w:val="bottom"/>
            <w:tcBorders>
              <w:top w:val="single" w:sz="8" w:color="auto"/>
            </w:tcBorders>
            <w:shd w:val="clear" w:color="auto" w:fill="CCEEFF"/>
          </w:tcPr>
          <w:p>
            <w:pPr>
              <w:jc w:val="center"/>
              <w:ind w:right="3396"/>
              <w:spacing w:after="0"/>
              <w:rPr>
                <w:sz w:val="20"/>
                <w:szCs w:val="20"/>
                <w:color w:val="auto"/>
              </w:rPr>
            </w:pPr>
            <w:r>
              <w:rPr>
                <w:rFonts w:ascii="Arial" w:cs="Arial" w:eastAsia="Arial" w:hAnsi="Arial"/>
                <w:sz w:val="18"/>
                <w:szCs w:val="18"/>
                <w:color w:val="auto"/>
                <w:w w:val="91"/>
              </w:rPr>
              <w:t>November 30, 2004</w:t>
            </w:r>
          </w:p>
        </w:tc>
        <w:tc>
          <w:tcPr>
            <w:tcW w:w="40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rPr>
              <w:t>10,000</w:t>
            </w: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24.320</w:t>
            </w:r>
          </w:p>
        </w:tc>
        <w:tc>
          <w:tcPr>
            <w:tcW w:w="260" w:type="dxa"/>
            <w:vAlign w:val="bottom"/>
            <w:tcBorders>
              <w:top w:val="single" w:sz="8" w:color="CCEEFF"/>
            </w:tcBorders>
            <w:shd w:val="clear" w:color="auto" w:fill="CCEEFF"/>
          </w:tcPr>
          <w:p>
            <w:pPr>
              <w:spacing w:after="0"/>
              <w:rPr>
                <w:sz w:val="18"/>
                <w:szCs w:val="18"/>
                <w:color w:val="auto"/>
              </w:rPr>
            </w:pPr>
          </w:p>
        </w:tc>
      </w:tr>
      <w:tr>
        <w:trPr>
          <w:trHeight w:val="230"/>
        </w:trPr>
        <w:tc>
          <w:tcPr>
            <w:tcW w:w="5720" w:type="dxa"/>
            <w:vAlign w:val="bottom"/>
            <w:gridSpan w:val="2"/>
          </w:tcPr>
          <w:p>
            <w:pPr>
              <w:jc w:val="center"/>
              <w:ind w:right="3880"/>
              <w:spacing w:after="0"/>
              <w:rPr>
                <w:sz w:val="20"/>
                <w:szCs w:val="20"/>
                <w:color w:val="auto"/>
              </w:rPr>
            </w:pPr>
            <w:r>
              <w:rPr>
                <w:rFonts w:ascii="Arial" w:cs="Arial" w:eastAsia="Arial" w:hAnsi="Arial"/>
                <w:sz w:val="18"/>
                <w:szCs w:val="18"/>
                <w:color w:val="auto"/>
                <w:w w:val="89"/>
              </w:rPr>
              <w:t>December 1, 2004</w:t>
            </w:r>
          </w:p>
        </w:tc>
        <w:tc>
          <w:tcPr>
            <w:tcW w:w="2280" w:type="dxa"/>
            <w:vAlign w:val="bottom"/>
          </w:tcPr>
          <w:p>
            <w:pPr>
              <w:jc w:val="right"/>
              <w:ind w:right="916"/>
              <w:spacing w:after="0"/>
              <w:rPr>
                <w:sz w:val="20"/>
                <w:szCs w:val="20"/>
                <w:color w:val="auto"/>
              </w:rPr>
            </w:pPr>
            <w:r>
              <w:rPr>
                <w:rFonts w:ascii="Arial" w:cs="Arial" w:eastAsia="Arial" w:hAnsi="Arial"/>
                <w:sz w:val="18"/>
                <w:szCs w:val="18"/>
                <w:color w:val="auto"/>
              </w:rPr>
              <w:t>400</w:t>
            </w:r>
          </w:p>
        </w:tc>
        <w:tc>
          <w:tcPr>
            <w:tcW w:w="380" w:type="dxa"/>
            <w:vAlign w:val="bottom"/>
          </w:tcPr>
          <w:p>
            <w:pPr>
              <w:spacing w:after="0"/>
              <w:rPr>
                <w:sz w:val="20"/>
                <w:szCs w:val="20"/>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2220" w:type="dxa"/>
            <w:vAlign w:val="bottom"/>
            <w:gridSpan w:val="2"/>
          </w:tcPr>
          <w:p>
            <w:pPr>
              <w:jc w:val="right"/>
              <w:ind w:right="260"/>
              <w:spacing w:after="0"/>
              <w:rPr>
                <w:sz w:val="20"/>
                <w:szCs w:val="20"/>
                <w:color w:val="auto"/>
              </w:rPr>
            </w:pPr>
            <w:r>
              <w:rPr>
                <w:rFonts w:ascii="Arial" w:cs="Arial" w:eastAsia="Arial" w:hAnsi="Arial"/>
                <w:sz w:val="18"/>
                <w:szCs w:val="18"/>
                <w:color w:val="auto"/>
              </w:rPr>
              <w:t>24.325</w:t>
            </w:r>
          </w:p>
        </w:tc>
      </w:tr>
    </w:tbl>
    <w:p>
      <w:pPr>
        <w:spacing w:after="0" w:line="241" w:lineRule="exact"/>
        <w:rPr>
          <w:sz w:val="20"/>
          <w:szCs w:val="20"/>
          <w:color w:val="auto"/>
        </w:rPr>
      </w:pPr>
    </w:p>
    <w:p>
      <w:pPr>
        <w:ind w:right="300" w:firstLine="1297"/>
        <w:spacing w:after="0" w:line="277" w:lineRule="auto"/>
        <w:rPr>
          <w:sz w:val="20"/>
          <w:szCs w:val="20"/>
          <w:color w:val="auto"/>
        </w:rPr>
      </w:pPr>
      <w:r>
        <w:rPr>
          <w:rFonts w:ascii="Arial" w:cs="Arial" w:eastAsia="Arial" w:hAnsi="Arial"/>
          <w:sz w:val="18"/>
          <w:szCs w:val="18"/>
          <w:color w:val="auto"/>
        </w:rPr>
        <w:t>On December 13, 2004, Abbott sold its remaining 1,540,533 shares of Common Stock as part of a block trade on the American Stock Exchange at an average price per share of $24.230.</w:t>
      </w:r>
    </w:p>
    <w:p>
      <w:pPr>
        <w:spacing w:after="0" w:line="62" w:lineRule="exact"/>
        <w:rPr>
          <w:sz w:val="20"/>
          <w:szCs w:val="20"/>
          <w:color w:val="auto"/>
        </w:rPr>
      </w:pPr>
    </w:p>
    <w:p>
      <w:pPr>
        <w:ind w:left="1340" w:hanging="690"/>
        <w:spacing w:after="0"/>
        <w:tabs>
          <w:tab w:leader="none" w:pos="1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On December 13, 2004, Abbott ceased to be the owner of more than five percent of the outstanding shares of Common Stock.</w:t>
      </w:r>
    </w:p>
    <w:p>
      <w:pPr>
        <w:sectPr>
          <w:pgSz w:w="11900" w:h="16838" w:orient="portrait"/>
          <w:cols w:equalWidth="0" w:num="1">
            <w:col w:w="11220"/>
          </w:cols>
          <w:pgMar w:left="300" w:top="287" w:right="379" w:bottom="0" w:gutter="0" w:footer="0" w:header="0"/>
          <w:type w:val="continuous"/>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t>*********************************</w:t>
      </w:r>
    </w:p>
    <w:p>
      <w:pPr>
        <w:spacing w:after="0" w:line="28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99"/>
        <w:spacing w:after="0"/>
        <w:rPr>
          <w:sz w:val="20"/>
          <w:szCs w:val="20"/>
          <w:color w:val="auto"/>
        </w:rPr>
      </w:pPr>
      <w:r>
        <w:rPr>
          <w:rFonts w:ascii="Arial" w:cs="Arial" w:eastAsia="Arial" w:hAnsi="Arial"/>
          <w:sz w:val="24"/>
          <w:szCs w:val="24"/>
          <w:b w:val="1"/>
          <w:bCs w:val="1"/>
          <w:color w:val="auto"/>
        </w:rPr>
        <w:t>Signature</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December 16, 2004</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Abbott Laboratories</w:t>
      </w:r>
    </w:p>
    <w:p>
      <w:pPr>
        <w:spacing w:after="0" w:line="22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Thomas C. Freyman</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Thomas C. Freyman/</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Executive Vice President, Finance</w:t>
      </w:r>
    </w:p>
    <w:p>
      <w:pPr>
        <w:spacing w:after="0" w:line="9"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120"/>
      </w:cols>
      <w:pgMar w:left="240" w:top="445"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lvl w:ilvl="1">
      <w:lvlJc w:val="left"/>
      <w:lvlText w:val="(%2)"/>
      <w:numFmt w:val="lowerLetter"/>
      <w:start w:val="1"/>
    </w:lvl>
  </w:abstractNum>
  <w:abstractNum w:abstractNumId="2">
    <w:nsid w:val="3D1B58BA"/>
    <w:multiLevelType w:val="hybridMultilevel"/>
    <w:lvl w:ilvl="0">
      <w:lvlJc w:val="left"/>
      <w:lvlText w:val="%1."/>
      <w:numFmt w:val="decimal"/>
      <w:start w:val="7"/>
    </w:lvl>
  </w:abstractNum>
  <w:abstractNum w:abstractNumId="3">
    <w:nsid w:val="507ED7AB"/>
    <w:multiLevelType w:val="hybridMultilevel"/>
    <w:lvl w:ilvl="0">
      <w:lvlJc w:val="left"/>
      <w:lvlText w:val="%1"/>
      <w:numFmt w:val="decimal"/>
      <w:start w:val="1"/>
    </w:lvl>
    <w:lvl w:ilvl="1">
      <w:lvlJc w:val="left"/>
      <w:lvlText w:val="%2."/>
      <w:numFmt w:val="decimal"/>
      <w:start w:val="10"/>
    </w:lvl>
  </w:abstractNum>
  <w:abstractNum w:abstractNumId="4">
    <w:nsid w:val="2EB141F2"/>
    <w:multiLevelType w:val="hybridMultilevel"/>
    <w:lvl w:ilvl="0">
      <w:lvlJc w:val="left"/>
      <w:lvlText w:val="%1."/>
      <w:numFmt w:val="decimal"/>
      <w:start w:val="11"/>
    </w:lvl>
    <w:lvl w:ilvl="1">
      <w:lvlJc w:val="left"/>
      <w:lvlText w:val="%2"/>
      <w:numFmt w:val="decimal"/>
      <w:start w:val="1"/>
    </w:lvl>
  </w:abstractNum>
  <w:abstractNum w:abstractNumId="5">
    <w:nsid w:val="41B71EFB"/>
    <w:multiLevelType w:val="hybridMultilevel"/>
    <w:lvl w:ilvl="0">
      <w:lvlJc w:val="left"/>
      <w:lvlText w:val="%1."/>
      <w:numFmt w:val="decimal"/>
      <w:start w:val="13"/>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2019-12-16T20:25:00Z</dcterms:created>
  <dcterms:modified xsi:type="dcterms:W3CDTF">2019-12-16T20:25:00Z</dcterms:modified>
</cp:coreProperties>
</file>