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 C. 20549</w:t>
      </w:r>
    </w:p>
    <w:p>
      <w:pPr>
        <w:spacing w:after="0" w:line="5"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color w:val="auto"/>
        </w:rPr>
        <w:t>______________________________________________</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6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5" w:lineRule="exact"/>
        <w:rPr>
          <w:sz w:val="24"/>
          <w:szCs w:val="24"/>
          <w:color w:val="auto"/>
        </w:rPr>
      </w:pPr>
    </w:p>
    <w:p>
      <w:pPr>
        <w:ind w:left="6100" w:right="2840" w:hanging="5493"/>
        <w:spacing w:after="0" w:line="322" w:lineRule="auto"/>
        <w:tabs>
          <w:tab w:leader="none" w:pos="1375" w:val="left"/>
        </w:tabs>
        <w:numPr>
          <w:ilvl w:val="0"/>
          <w:numId w:val="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 OR</w:t>
      </w:r>
    </w:p>
    <w:p>
      <w:pPr>
        <w:ind w:left="1380" w:hanging="761"/>
        <w:spacing w:after="0"/>
        <w:tabs>
          <w:tab w:leader="none" w:pos="1380" w:val="left"/>
        </w:tabs>
        <w:numPr>
          <w:ilvl w:val="0"/>
          <w:numId w:val="2"/>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20"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w:t>
      </w:r>
    </w:p>
    <w:p>
      <w:pPr>
        <w:spacing w:after="0" w:line="48" w:lineRule="exact"/>
        <w:rPr>
          <w:sz w:val="24"/>
          <w:szCs w:val="24"/>
          <w:color w:val="auto"/>
        </w:rPr>
      </w:pPr>
    </w:p>
    <w:p>
      <w:pPr>
        <w:ind w:left="1460"/>
        <w:spacing w:after="0"/>
        <w:tabs>
          <w:tab w:leader="none" w:pos="7440" w:val="left"/>
        </w:tabs>
        <w:rPr>
          <w:sz w:val="20"/>
          <w:szCs w:val="20"/>
          <w:color w:val="auto"/>
        </w:rPr>
      </w:pPr>
      <w:r>
        <w:rPr>
          <w:rFonts w:ascii="Times New Roman" w:cs="Times New Roman" w:eastAsia="Times New Roman" w:hAnsi="Times New Roman"/>
          <w:sz w:val="14"/>
          <w:szCs w:val="14"/>
          <w:b w:val="1"/>
          <w:bCs w:val="1"/>
          <w:color w:val="auto"/>
        </w:rPr>
        <w:t>For the fiscal year ended December 31, 2025</w:t>
      </w:r>
      <w:r>
        <w:rPr>
          <w:sz w:val="20"/>
          <w:szCs w:val="20"/>
          <w:color w:val="auto"/>
        </w:rPr>
        <w:tab/>
      </w:r>
      <w:r>
        <w:rPr>
          <w:rFonts w:ascii="Times New Roman" w:cs="Times New Roman" w:eastAsia="Times New Roman" w:hAnsi="Times New Roman"/>
          <w:sz w:val="14"/>
          <w:szCs w:val="14"/>
          <w:b w:val="1"/>
          <w:bCs w:val="1"/>
          <w:color w:val="auto"/>
        </w:rPr>
        <w:t>Commission file number 1-2189</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334"/>
        </w:trPr>
        <w:tc>
          <w:tcPr>
            <w:tcW w:w="3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25"/>
                <w:szCs w:val="25"/>
                <w:b w:val="1"/>
                <w:bCs w:val="1"/>
                <w:color w:val="auto"/>
              </w:rPr>
              <w:t>Abbott Laboratories</w:t>
            </w:r>
          </w:p>
        </w:tc>
        <w:tc>
          <w:tcPr>
            <w:tcW w:w="4000" w:type="dxa"/>
            <w:vAlign w:val="bottom"/>
          </w:tcPr>
          <w:p>
            <w:pPr>
              <w:spacing w:after="0"/>
              <w:rPr>
                <w:sz w:val="24"/>
                <w:szCs w:val="24"/>
                <w:color w:val="auto"/>
              </w:rPr>
            </w:pPr>
          </w:p>
        </w:tc>
      </w:tr>
      <w:tr>
        <w:trPr>
          <w:trHeight w:val="211"/>
        </w:trPr>
        <w:tc>
          <w:tcPr>
            <w:tcW w:w="3800" w:type="dxa"/>
            <w:vAlign w:val="bottom"/>
          </w:tcPr>
          <w:p>
            <w:pPr>
              <w:jc w:val="center"/>
              <w:ind w:left="1728"/>
              <w:spacing w:after="0"/>
              <w:rPr>
                <w:sz w:val="20"/>
                <w:szCs w:val="20"/>
                <w:color w:val="auto"/>
              </w:rPr>
            </w:pPr>
            <w:r>
              <w:rPr>
                <w:rFonts w:ascii="Times New Roman" w:cs="Times New Roman" w:eastAsia="Times New Roman" w:hAnsi="Times New Roman"/>
                <w:sz w:val="14"/>
                <w:szCs w:val="14"/>
                <w:b w:val="1"/>
                <w:bCs w:val="1"/>
                <w:color w:val="auto"/>
              </w:rPr>
              <w:t>An Illinois Corporation</w:t>
            </w:r>
          </w:p>
        </w:tc>
        <w:tc>
          <w:tcPr>
            <w:tcW w:w="2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00" w:type="dxa"/>
            <w:vAlign w:val="bottom"/>
          </w:tcPr>
          <w:p>
            <w:pPr>
              <w:jc w:val="right"/>
              <w:ind w:right="2368"/>
              <w:spacing w:after="0"/>
              <w:rPr>
                <w:sz w:val="20"/>
                <w:szCs w:val="20"/>
                <w:color w:val="auto"/>
              </w:rPr>
            </w:pPr>
            <w:r>
              <w:rPr>
                <w:rFonts w:ascii="Times New Roman" w:cs="Times New Roman" w:eastAsia="Times New Roman" w:hAnsi="Times New Roman"/>
                <w:sz w:val="14"/>
                <w:szCs w:val="14"/>
                <w:b w:val="1"/>
                <w:bCs w:val="1"/>
                <w:color w:val="auto"/>
              </w:rPr>
              <w:t>36-0698440</w:t>
            </w:r>
          </w:p>
        </w:tc>
      </w:tr>
      <w:tr>
        <w:trPr>
          <w:trHeight w:val="201"/>
        </w:trPr>
        <w:tc>
          <w:tcPr>
            <w:tcW w:w="3800" w:type="dxa"/>
            <w:vAlign w:val="bottom"/>
          </w:tcPr>
          <w:p>
            <w:pPr>
              <w:jc w:val="center"/>
              <w:ind w:left="1708"/>
              <w:spacing w:after="0"/>
              <w:rPr>
                <w:sz w:val="20"/>
                <w:szCs w:val="20"/>
                <w:color w:val="auto"/>
              </w:rPr>
            </w:pPr>
            <w:r>
              <w:rPr>
                <w:rFonts w:ascii="Times New Roman" w:cs="Times New Roman" w:eastAsia="Times New Roman" w:hAnsi="Times New Roman"/>
                <w:sz w:val="14"/>
                <w:szCs w:val="14"/>
                <w:b w:val="1"/>
                <w:bCs w:val="1"/>
                <w:color w:val="auto"/>
              </w:rPr>
              <w:t>100 Abbott Park Road</w:t>
            </w:r>
          </w:p>
        </w:tc>
        <w:tc>
          <w:tcPr>
            <w:tcW w:w="2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tc>
      </w:tr>
      <w:tr>
        <w:trPr>
          <w:trHeight w:val="162"/>
        </w:trPr>
        <w:tc>
          <w:tcPr>
            <w:tcW w:w="3800" w:type="dxa"/>
            <w:vAlign w:val="bottom"/>
          </w:tcPr>
          <w:p>
            <w:pPr>
              <w:jc w:val="center"/>
              <w:ind w:left="1728"/>
              <w:spacing w:after="0"/>
              <w:rPr>
                <w:sz w:val="20"/>
                <w:szCs w:val="20"/>
                <w:color w:val="auto"/>
              </w:rPr>
            </w:pPr>
            <w:r>
              <w:rPr>
                <w:rFonts w:ascii="Times New Roman" w:cs="Times New Roman" w:eastAsia="Times New Roman" w:hAnsi="Times New Roman"/>
                <w:sz w:val="14"/>
                <w:szCs w:val="14"/>
                <w:b w:val="1"/>
                <w:bCs w:val="1"/>
                <w:color w:val="auto"/>
              </w:rPr>
              <w:t>Abbott Park, Illinois 60064-6400</w:t>
            </w:r>
          </w:p>
        </w:tc>
        <w:tc>
          <w:tcPr>
            <w:tcW w:w="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000" w:type="dxa"/>
            <w:vAlign w:val="bottom"/>
          </w:tcPr>
          <w:p>
            <w:pPr>
              <w:jc w:val="right"/>
              <w:ind w:right="2268"/>
              <w:spacing w:after="0"/>
              <w:rPr>
                <w:sz w:val="20"/>
                <w:szCs w:val="20"/>
                <w:color w:val="auto"/>
              </w:rPr>
            </w:pPr>
            <w:r>
              <w:rPr>
                <w:rFonts w:ascii="Times New Roman" w:cs="Times New Roman" w:eastAsia="Times New Roman" w:hAnsi="Times New Roman"/>
                <w:sz w:val="14"/>
                <w:szCs w:val="14"/>
                <w:b w:val="1"/>
                <w:bCs w:val="1"/>
                <w:color w:val="auto"/>
              </w:rPr>
              <w:t>(224) 667-6100</w:t>
            </w:r>
          </w:p>
        </w:tc>
      </w:tr>
      <w:tr>
        <w:trPr>
          <w:trHeight w:val="190"/>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40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(telephone number)</w:t>
            </w:r>
          </w:p>
        </w:tc>
      </w:tr>
      <w:tr>
        <w:trPr>
          <w:trHeight w:val="283"/>
        </w:trPr>
        <w:tc>
          <w:tcPr>
            <w:tcW w:w="3800" w:type="dxa"/>
            <w:vAlign w:val="bottom"/>
          </w:tcPr>
          <w:p>
            <w:pPr>
              <w:spacing w:after="0"/>
              <w:rPr>
                <w:sz w:val="24"/>
                <w:szCs w:val="24"/>
                <w:color w:val="auto"/>
              </w:rPr>
            </w:pPr>
          </w:p>
        </w:tc>
        <w:tc>
          <w:tcPr>
            <w:tcW w:w="7400" w:type="dxa"/>
            <w:vAlign w:val="bottom"/>
            <w:gridSpan w:val="3"/>
          </w:tcPr>
          <w:p>
            <w:pPr>
              <w:jc w:val="center"/>
              <w:ind w:right="372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37"/>
        </w:trPr>
        <w:tc>
          <w:tcPr>
            <w:tcW w:w="3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r>
      <w:tr>
        <w:trPr>
          <w:trHeight w:val="21"/>
        </w:trPr>
        <w:tc>
          <w:tcPr>
            <w:tcW w:w="3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r>
        <w:trPr>
          <w:trHeight w:val="190"/>
        </w:trPr>
        <w:tc>
          <w:tcPr>
            <w:tcW w:w="380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0" w:type="dxa"/>
            <w:vAlign w:val="bottom"/>
            <w:tcBorders>
              <w:bottom w:val="single" w:sz="8" w:color="auto"/>
              <w:right w:val="single" w:sz="8" w:color="auto"/>
            </w:tcBorders>
          </w:tcPr>
          <w:p>
            <w:pPr>
              <w:spacing w:after="0"/>
              <w:rPr>
                <w:sz w:val="16"/>
                <w:szCs w:val="16"/>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0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9"/>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Shares, Without Par Value</w:t>
            </w:r>
          </w:p>
        </w:tc>
        <w:tc>
          <w:tcPr>
            <w:tcW w:w="220" w:type="dxa"/>
            <w:vAlign w:val="bottom"/>
            <w:tcBorders>
              <w:right w:val="single" w:sz="8" w:color="auto"/>
            </w:tcBorders>
          </w:tcPr>
          <w:p>
            <w:pPr>
              <w:spacing w:after="0"/>
              <w:rPr>
                <w:sz w:val="15"/>
                <w:szCs w:val="15"/>
                <w:color w:val="auto"/>
              </w:rPr>
            </w:pPr>
          </w:p>
        </w:tc>
        <w:tc>
          <w:tcPr>
            <w:tcW w:w="3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ABT</w:t>
            </w:r>
          </w:p>
        </w:tc>
        <w:tc>
          <w:tcPr>
            <w:tcW w:w="4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188"/>
        </w:trPr>
        <w:tc>
          <w:tcPr>
            <w:tcW w:w="38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3180" w:type="dxa"/>
            <w:vAlign w:val="bottom"/>
            <w:tcBorders>
              <w:right w:val="single" w:sz="8" w:color="auto"/>
            </w:tcBorders>
          </w:tcPr>
          <w:p>
            <w:pPr>
              <w:spacing w:after="0"/>
              <w:rPr>
                <w:sz w:val="16"/>
                <w:szCs w:val="16"/>
                <w:color w:val="auto"/>
              </w:rPr>
            </w:pPr>
          </w:p>
        </w:tc>
        <w:tc>
          <w:tcPr>
            <w:tcW w:w="4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NYSE Texas</w:t>
            </w:r>
          </w:p>
        </w:tc>
      </w:tr>
      <w:tr>
        <w:trPr>
          <w:trHeight w:val="37"/>
        </w:trPr>
        <w:tc>
          <w:tcPr>
            <w:tcW w:w="380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r>
      <w:tr>
        <w:trPr>
          <w:trHeight w:val="21"/>
        </w:trPr>
        <w:tc>
          <w:tcPr>
            <w:tcW w:w="3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bl>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Indicate by check mark if the registrant is a well-known seasoned issuer, as defined in Rule 405 of the Securities Act.</w:t>
      </w:r>
    </w:p>
    <w:p>
      <w:pPr>
        <w:spacing w:after="0" w:line="69" w:lineRule="exact"/>
        <w:rPr>
          <w:sz w:val="24"/>
          <w:szCs w:val="24"/>
          <w:color w:val="auto"/>
        </w:rPr>
      </w:pPr>
    </w:p>
    <w:p>
      <w:pPr>
        <w:ind w:left="5060"/>
        <w:spacing w:after="0"/>
        <w:tabs>
          <w:tab w:leader="none" w:pos="5720" w:val="left"/>
        </w:tabs>
        <w:rPr>
          <w:sz w:val="20"/>
          <w:szCs w:val="20"/>
          <w:color w:val="auto"/>
        </w:rPr>
      </w:pPr>
      <w:r>
        <w:rPr>
          <w:rFonts w:ascii="Times New Roman" w:cs="Times New Roman" w:eastAsia="Times New Roman" w:hAnsi="Times New Roman"/>
          <w:sz w:val="14"/>
          <w:szCs w:val="14"/>
          <w:b w:val="1"/>
          <w:bCs w:val="1"/>
          <w:color w:val="auto"/>
        </w:rPr>
        <w:t xml:space="preserve">Yes </w:t>
      </w:r>
      <w:r>
        <w:rPr>
          <w:rFonts w:ascii="Wingdings" w:cs="Wingdings" w:eastAsia="Wingdings" w:hAnsi="Wingdings"/>
          <w:sz w:val="14"/>
          <w:szCs w:val="14"/>
          <w:b w:val="1"/>
          <w:bCs w:val="1"/>
          <w:color w:val="auto"/>
          <w:highlight w:val="black"/>
        </w:rPr>
        <w:t>x</w:t>
      </w:r>
      <w:r>
        <w:rPr>
          <w:sz w:val="20"/>
          <w:szCs w:val="20"/>
          <w:color w:val="auto"/>
        </w:rPr>
        <w:tab/>
      </w:r>
      <w:r>
        <w:rPr>
          <w:rFonts w:ascii="Times New Roman" w:cs="Times New Roman" w:eastAsia="Times New Roman" w:hAnsi="Times New Roman"/>
          <w:sz w:val="14"/>
          <w:szCs w:val="14"/>
          <w:b w:val="1"/>
          <w:bCs w:val="1"/>
          <w:color w:val="auto"/>
        </w:rPr>
        <w:t xml:space="preserve">No </w:t>
      </w:r>
      <w:r>
        <w:rPr>
          <w:rFonts w:ascii="Wingdings" w:cs="Wingdings" w:eastAsia="Wingdings" w:hAnsi="Wingdings"/>
          <w:sz w:val="14"/>
          <w:szCs w:val="14"/>
          <w:b w:val="1"/>
          <w:bCs w:val="1"/>
          <w:color w:val="auto"/>
          <w:highlight w:val="black"/>
        </w:rPr>
        <w:t>o</w:t>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Indicate by check mark if the registrant is not required to file reports pursuant to Section 13 or 15(d) of the Act.</w:t>
      </w:r>
    </w:p>
    <w:p>
      <w:pPr>
        <w:spacing w:after="0" w:line="69" w:lineRule="exact"/>
        <w:rPr>
          <w:sz w:val="24"/>
          <w:szCs w:val="24"/>
          <w:color w:val="auto"/>
        </w:rPr>
      </w:pPr>
    </w:p>
    <w:p>
      <w:pPr>
        <w:ind w:left="5080"/>
        <w:spacing w:after="0"/>
        <w:tabs>
          <w:tab w:leader="none" w:pos="5720" w:val="left"/>
        </w:tabs>
        <w:rPr>
          <w:sz w:val="20"/>
          <w:szCs w:val="20"/>
          <w:color w:val="auto"/>
        </w:rPr>
      </w:pPr>
      <w:r>
        <w:rPr>
          <w:rFonts w:ascii="Times New Roman" w:cs="Times New Roman" w:eastAsia="Times New Roman" w:hAnsi="Times New Roman"/>
          <w:sz w:val="14"/>
          <w:szCs w:val="14"/>
          <w:b w:val="1"/>
          <w:bCs w:val="1"/>
          <w:color w:val="auto"/>
        </w:rPr>
        <w:t xml:space="preserve">Yes </w:t>
      </w:r>
      <w:r>
        <w:rPr>
          <w:rFonts w:ascii="Wingdings" w:cs="Wingdings" w:eastAsia="Wingdings" w:hAnsi="Wingdings"/>
          <w:sz w:val="14"/>
          <w:szCs w:val="14"/>
          <w:b w:val="1"/>
          <w:bCs w:val="1"/>
          <w:color w:val="auto"/>
          <w:highlight w:val="black"/>
        </w:rPr>
        <w:t>o</w:t>
      </w:r>
      <w:r>
        <w:rPr>
          <w:sz w:val="20"/>
          <w:szCs w:val="20"/>
          <w:color w:val="auto"/>
        </w:rPr>
        <w:tab/>
      </w:r>
      <w:r>
        <w:rPr>
          <w:rFonts w:ascii="Times New Roman" w:cs="Times New Roman" w:eastAsia="Times New Roman" w:hAnsi="Times New Roman"/>
          <w:sz w:val="14"/>
          <w:szCs w:val="14"/>
          <w:b w:val="1"/>
          <w:bCs w:val="1"/>
          <w:color w:val="auto"/>
        </w:rPr>
        <w:t xml:space="preserve">No </w:t>
      </w:r>
      <w:r>
        <w:rPr>
          <w:rFonts w:ascii="Wingdings" w:cs="Wingdings" w:eastAsia="Wingdings" w:hAnsi="Wingdings"/>
          <w:sz w:val="14"/>
          <w:szCs w:val="14"/>
          <w:b w:val="1"/>
          <w:bCs w:val="1"/>
          <w:color w:val="auto"/>
          <w:highlight w:val="black"/>
        </w:rPr>
        <w:t>x</w:t>
      </w:r>
    </w:p>
    <w:p>
      <w:pPr>
        <w:spacing w:after="0" w:line="123" w:lineRule="exact"/>
        <w:rPr>
          <w:sz w:val="24"/>
          <w:szCs w:val="24"/>
          <w:color w:val="auto"/>
        </w:rPr>
      </w:pPr>
    </w:p>
    <w:p>
      <w:pPr>
        <w:ind w:right="480"/>
        <w:spacing w:after="0" w:line="291" w:lineRule="auto"/>
        <w:rPr>
          <w:sz w:val="20"/>
          <w:szCs w:val="20"/>
          <w:color w:val="auto"/>
        </w:rPr>
      </w:pPr>
      <w:r>
        <w:rPr>
          <w:rFonts w:ascii="Times New Roman" w:cs="Times New Roman" w:eastAsia="Times New Roman" w:hAnsi="Times New Roman"/>
          <w:sz w:val="14"/>
          <w:szCs w:val="14"/>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100"/>
        <w:spacing w:after="0"/>
        <w:tabs>
          <w:tab w:leader="none" w:pos="260" w:val="left"/>
        </w:tabs>
        <w:rPr>
          <w:sz w:val="20"/>
          <w:szCs w:val="20"/>
          <w:color w:val="auto"/>
        </w:rPr>
      </w:pPr>
      <w:r>
        <w:rPr>
          <w:rFonts w:ascii="Times New Roman" w:cs="Times New Roman" w:eastAsia="Times New Roman" w:hAnsi="Times New Roman"/>
          <w:sz w:val="14"/>
          <w:szCs w:val="14"/>
          <w:b w:val="1"/>
          <w:bCs w:val="1"/>
          <w:color w:val="auto"/>
        </w:rPr>
        <w:t xml:space="preserve">Yes </w:t>
      </w:r>
      <w:r>
        <w:rPr>
          <w:rFonts w:ascii="Wingdings" w:cs="Wingdings" w:eastAsia="Wingdings" w:hAnsi="Wingdings"/>
          <w:sz w:val="14"/>
          <w:szCs w:val="14"/>
          <w:b w:val="1"/>
          <w:bCs w:val="1"/>
          <w:color w:val="auto"/>
          <w:highlight w:val="black"/>
        </w:rPr>
        <w:t>x</w:t>
      </w:r>
      <w:r>
        <w:rPr>
          <w:sz w:val="20"/>
          <w:szCs w:val="20"/>
          <w:color w:val="auto"/>
        </w:rPr>
        <w:tab/>
      </w:r>
      <w:r>
        <w:rPr>
          <w:rFonts w:ascii="Times New Roman" w:cs="Times New Roman" w:eastAsia="Times New Roman" w:hAnsi="Times New Roman"/>
          <w:sz w:val="14"/>
          <w:szCs w:val="14"/>
          <w:b w:val="1"/>
          <w:bCs w:val="1"/>
          <w:color w:val="auto"/>
        </w:rPr>
        <w:t xml:space="preserve">No </w:t>
      </w:r>
      <w:r>
        <w:rPr>
          <w:rFonts w:ascii="Wingdings" w:cs="Wingdings" w:eastAsia="Wingdings" w:hAnsi="Wingdings"/>
          <w:sz w:val="14"/>
          <w:szCs w:val="14"/>
          <w:b w:val="1"/>
          <w:bCs w:val="1"/>
          <w:color w:val="auto"/>
          <w:highlight w:val="black"/>
        </w:rPr>
        <w:t>o</w:t>
      </w:r>
    </w:p>
    <w:p>
      <w:pPr>
        <w:spacing w:after="0" w:line="123" w:lineRule="exact"/>
        <w:rPr>
          <w:sz w:val="24"/>
          <w:szCs w:val="24"/>
          <w:color w:val="auto"/>
        </w:rPr>
      </w:pPr>
    </w:p>
    <w:p>
      <w:pPr>
        <w:ind w:right="120"/>
        <w:spacing w:after="0" w:line="301" w:lineRule="auto"/>
        <w:rPr>
          <w:sz w:val="20"/>
          <w:szCs w:val="20"/>
          <w:color w:val="auto"/>
        </w:rPr>
      </w:pPr>
      <w:r>
        <w:rPr>
          <w:rFonts w:ascii="Times New Roman" w:cs="Times New Roman" w:eastAsia="Times New Roman" w:hAnsi="Times New Roman"/>
          <w:sz w:val="14"/>
          <w:szCs w:val="14"/>
          <w:b w:val="1"/>
          <w:bCs w:val="1"/>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jc w:val="center"/>
        <w:ind w:right="100"/>
        <w:spacing w:after="0"/>
        <w:tabs>
          <w:tab w:leader="none" w:pos="260" w:val="left"/>
        </w:tabs>
        <w:rPr>
          <w:sz w:val="20"/>
          <w:szCs w:val="20"/>
          <w:color w:val="auto"/>
        </w:rPr>
      </w:pPr>
      <w:r>
        <w:rPr>
          <w:rFonts w:ascii="Times New Roman" w:cs="Times New Roman" w:eastAsia="Times New Roman" w:hAnsi="Times New Roman"/>
          <w:sz w:val="14"/>
          <w:szCs w:val="14"/>
          <w:b w:val="1"/>
          <w:bCs w:val="1"/>
          <w:color w:val="auto"/>
        </w:rPr>
        <w:t xml:space="preserve">Yes </w:t>
      </w:r>
      <w:r>
        <w:rPr>
          <w:rFonts w:ascii="Wingdings" w:cs="Wingdings" w:eastAsia="Wingdings" w:hAnsi="Wingdings"/>
          <w:sz w:val="14"/>
          <w:szCs w:val="14"/>
          <w:b w:val="1"/>
          <w:bCs w:val="1"/>
          <w:color w:val="auto"/>
          <w:highlight w:val="black"/>
        </w:rPr>
        <w:t>x</w:t>
      </w:r>
      <w:r>
        <w:rPr>
          <w:sz w:val="20"/>
          <w:szCs w:val="20"/>
          <w:color w:val="auto"/>
        </w:rPr>
        <w:tab/>
      </w:r>
      <w:r>
        <w:rPr>
          <w:rFonts w:ascii="Times New Roman" w:cs="Times New Roman" w:eastAsia="Times New Roman" w:hAnsi="Times New Roman"/>
          <w:sz w:val="14"/>
          <w:szCs w:val="14"/>
          <w:b w:val="1"/>
          <w:bCs w:val="1"/>
          <w:color w:val="auto"/>
        </w:rPr>
        <w:t xml:space="preserve">No </w:t>
      </w:r>
      <w:r>
        <w:rPr>
          <w:rFonts w:ascii="Wingdings" w:cs="Wingdings" w:eastAsia="Wingdings" w:hAnsi="Wingdings"/>
          <w:sz w:val="14"/>
          <w:szCs w:val="14"/>
          <w:b w:val="1"/>
          <w:bCs w:val="1"/>
          <w:color w:val="auto"/>
          <w:highlight w:val="black"/>
        </w:rPr>
        <w:t>o</w:t>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Indicate by check mark whether the registrant is a large accelerated filer, an accelerated filer, a non-accelerated filer, a smaller reporting company, or an emerging growth company.</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108"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 xml:space="preserve">Large Accelerated Filer </w:t>
      </w:r>
      <w:r>
        <w:rPr>
          <w:rFonts w:ascii="Wingdings" w:cs="Wingdings" w:eastAsia="Wingdings" w:hAnsi="Wingdings"/>
          <w:sz w:val="14"/>
          <w:szCs w:val="14"/>
          <w:b w:val="1"/>
          <w:bCs w:val="1"/>
          <w:color w:val="auto"/>
          <w:highlight w:val="black"/>
        </w:rPr>
        <w:t>x</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 xml:space="preserve">Accelerated Filer </w:t>
      </w:r>
      <w:r>
        <w:rPr>
          <w:rFonts w:ascii="Wingdings" w:cs="Wingdings" w:eastAsia="Wingdings" w:hAnsi="Wingdings"/>
          <w:sz w:val="14"/>
          <w:szCs w:val="14"/>
          <w:b w:val="1"/>
          <w:bCs w:val="1"/>
          <w:color w:val="auto"/>
          <w:highlight w:val="black"/>
        </w:rPr>
        <w:t>o</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Non-Accelerated Filer </w:t>
      </w:r>
      <w:r>
        <w:rPr>
          <w:rFonts w:ascii="Wingdings" w:cs="Wingdings" w:eastAsia="Wingdings" w:hAnsi="Wingdings"/>
          <w:sz w:val="14"/>
          <w:szCs w:val="14"/>
          <w:b w:val="1"/>
          <w:bCs w:val="1"/>
          <w:color w:val="auto"/>
          <w:highlight w:val="black"/>
        </w:rPr>
        <w:t>o</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jc w:val="both"/>
        <w:ind w:right="480" w:hanging="7"/>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Smaller reporting company </w:t>
      </w:r>
      <w:r>
        <w:rPr>
          <w:rFonts w:ascii="Wingdings" w:cs="Wingdings" w:eastAsia="Wingdings" w:hAnsi="Wingdings"/>
          <w:sz w:val="14"/>
          <w:szCs w:val="14"/>
          <w:b w:val="1"/>
          <w:bCs w:val="1"/>
          <w:color w:val="auto"/>
          <w:highlight w:val="black"/>
        </w:rPr>
        <w:t>o</w:t>
      </w:r>
      <w:r>
        <w:rPr>
          <w:rFonts w:ascii="Times New Roman" w:cs="Times New Roman" w:eastAsia="Times New Roman" w:hAnsi="Times New Roman"/>
          <w:sz w:val="14"/>
          <w:szCs w:val="14"/>
          <w:b w:val="1"/>
          <w:bCs w:val="1"/>
          <w:color w:val="auto"/>
        </w:rPr>
        <w:t xml:space="preserve"> Emerging growth company </w:t>
      </w:r>
      <w:r>
        <w:rPr>
          <w:rFonts w:ascii="Wingdings" w:cs="Wingdings" w:eastAsia="Wingdings" w:hAnsi="Wingdings"/>
          <w:sz w:val="14"/>
          <w:szCs w:val="14"/>
          <w:b w:val="1"/>
          <w:bCs w:val="1"/>
          <w:color w:val="auto"/>
          <w:highlight w:val="black"/>
        </w:rPr>
        <w:t>o</w:t>
      </w:r>
    </w:p>
    <w:p>
      <w:pPr>
        <w:spacing w:after="0" w:line="50" w:lineRule="exact"/>
        <w:rPr>
          <w:sz w:val="24"/>
          <w:szCs w:val="24"/>
          <w:color w:val="auto"/>
        </w:rPr>
      </w:pPr>
    </w:p>
    <w:p>
      <w:pPr>
        <w:sectPr>
          <w:pgSz w:w="11900" w:h="16838" w:orient="portrait"/>
          <w:cols w:equalWidth="0" w:num="4">
            <w:col w:w="2880" w:space="720"/>
            <w:col w:w="1940" w:space="720"/>
            <w:col w:w="1940" w:space="720"/>
            <w:col w:w="2320"/>
          </w:cols>
          <w:pgMar w:left="320" w:top="229" w:right="339" w:bottom="1440" w:gutter="0" w:footer="0" w:header="0"/>
          <w:type w:val="continuous"/>
        </w:sectPr>
      </w:pPr>
    </w:p>
    <w:p>
      <w:pPr>
        <w:ind w:right="600"/>
        <w:spacing w:after="0" w:line="301" w:lineRule="auto"/>
        <w:rPr>
          <w:sz w:val="20"/>
          <w:szCs w:val="20"/>
          <w:color w:val="auto"/>
        </w:rPr>
      </w:pPr>
      <w:r>
        <w:rPr>
          <w:rFonts w:ascii="Times New Roman" w:cs="Times New Roman" w:eastAsia="Times New Roman" w:hAnsi="Times New Roman"/>
          <w:sz w:val="14"/>
          <w:szCs w:val="14"/>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highlight w:val="black"/>
        </w:rPr>
        <w:t>o</w:t>
      </w:r>
    </w:p>
    <w:p>
      <w:pPr>
        <w:spacing w:after="0" w:line="1" w:lineRule="exact"/>
        <w:rPr>
          <w:sz w:val="24"/>
          <w:szCs w:val="24"/>
          <w:color w:val="auto"/>
        </w:rPr>
      </w:pPr>
    </w:p>
    <w:p>
      <w:pPr>
        <w:spacing w:after="0" w:line="311" w:lineRule="auto"/>
        <w:rPr>
          <w:sz w:val="20"/>
          <w:szCs w:val="20"/>
          <w:color w:val="auto"/>
        </w:rPr>
      </w:pPr>
      <w:r>
        <w:rPr>
          <w:rFonts w:ascii="Times New Roman" w:cs="Times New Roman" w:eastAsia="Times New Roman" w:hAnsi="Times New Roman"/>
          <w:sz w:val="14"/>
          <w:szCs w:val="14"/>
          <w:b w:val="1"/>
          <w:bCs w:val="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highlight w:val="black"/>
        </w:rPr>
        <w:t>x</w:t>
      </w:r>
    </w:p>
    <w:p>
      <w:pPr>
        <w:spacing w:after="0" w:line="1" w:lineRule="exact"/>
        <w:rPr>
          <w:sz w:val="24"/>
          <w:szCs w:val="24"/>
          <w:color w:val="auto"/>
        </w:rPr>
      </w:pPr>
    </w:p>
    <w:p>
      <w:pPr>
        <w:spacing w:after="0" w:line="194" w:lineRule="exact"/>
        <w:rPr>
          <w:sz w:val="20"/>
          <w:szCs w:val="20"/>
          <w:color w:val="auto"/>
        </w:rPr>
      </w:pPr>
      <w:r>
        <w:rPr>
          <w:rFonts w:ascii="Times New Roman" w:cs="Times New Roman" w:eastAsia="Times New Roman" w:hAnsi="Times New Roman"/>
          <w:sz w:val="14"/>
          <w:szCs w:val="14"/>
          <w:b w:val="1"/>
          <w:bCs w:val="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highlight w:val="black"/>
        </w:rPr>
        <w:t>☐</w:t>
      </w:r>
    </w:p>
    <w:p>
      <w:pPr>
        <w:spacing w:after="0" w:line="4" w:lineRule="exact"/>
        <w:rPr>
          <w:sz w:val="24"/>
          <w:szCs w:val="24"/>
          <w:color w:val="auto"/>
        </w:rPr>
      </w:pPr>
    </w:p>
    <w:p>
      <w:pPr>
        <w:spacing w:after="0" w:line="194" w:lineRule="exact"/>
        <w:rPr>
          <w:sz w:val="20"/>
          <w:szCs w:val="20"/>
          <w:color w:val="auto"/>
        </w:rPr>
      </w:pPr>
      <w:r>
        <w:rPr>
          <w:rFonts w:ascii="Times New Roman" w:cs="Times New Roman" w:eastAsia="Times New Roman" w:hAnsi="Times New Roman"/>
          <w:sz w:val="14"/>
          <w:szCs w:val="14"/>
          <w:b w:val="1"/>
          <w:bCs w:val="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highlight w:val="black"/>
        </w:rPr>
        <w:t>☐</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Indicate by check mark whether the registrant is a shell company (as defined in Rule 12b-2 of the Act).</w:t>
      </w:r>
    </w:p>
    <w:p>
      <w:pPr>
        <w:spacing w:after="0" w:line="69" w:lineRule="exact"/>
        <w:rPr>
          <w:sz w:val="24"/>
          <w:szCs w:val="24"/>
          <w:color w:val="auto"/>
        </w:rPr>
      </w:pPr>
    </w:p>
    <w:p>
      <w:pPr>
        <w:ind w:left="5080"/>
        <w:spacing w:after="0"/>
        <w:tabs>
          <w:tab w:leader="none" w:pos="5720" w:val="left"/>
        </w:tabs>
        <w:rPr>
          <w:sz w:val="20"/>
          <w:szCs w:val="20"/>
          <w:color w:val="auto"/>
        </w:rPr>
      </w:pPr>
      <w:r>
        <w:rPr>
          <w:rFonts w:ascii="Times New Roman" w:cs="Times New Roman" w:eastAsia="Times New Roman" w:hAnsi="Times New Roman"/>
          <w:sz w:val="14"/>
          <w:szCs w:val="14"/>
          <w:b w:val="1"/>
          <w:bCs w:val="1"/>
          <w:color w:val="auto"/>
        </w:rPr>
        <w:t xml:space="preserve">Yes </w:t>
      </w:r>
      <w:r>
        <w:rPr>
          <w:rFonts w:ascii="Wingdings" w:cs="Wingdings" w:eastAsia="Wingdings" w:hAnsi="Wingdings"/>
          <w:sz w:val="14"/>
          <w:szCs w:val="14"/>
          <w:b w:val="1"/>
          <w:bCs w:val="1"/>
          <w:color w:val="auto"/>
          <w:highlight w:val="black"/>
        </w:rPr>
        <w:t>o</w:t>
      </w:r>
      <w:r>
        <w:rPr>
          <w:sz w:val="20"/>
          <w:szCs w:val="20"/>
          <w:color w:val="auto"/>
        </w:rPr>
        <w:tab/>
      </w:r>
      <w:r>
        <w:rPr>
          <w:rFonts w:ascii="Times New Roman" w:cs="Times New Roman" w:eastAsia="Times New Roman" w:hAnsi="Times New Roman"/>
          <w:sz w:val="14"/>
          <w:szCs w:val="14"/>
          <w:b w:val="1"/>
          <w:bCs w:val="1"/>
          <w:color w:val="auto"/>
        </w:rPr>
        <w:t xml:space="preserve">No </w:t>
      </w:r>
      <w:r>
        <w:rPr>
          <w:rFonts w:ascii="Wingdings" w:cs="Wingdings" w:eastAsia="Wingdings" w:hAnsi="Wingdings"/>
          <w:sz w:val="14"/>
          <w:szCs w:val="14"/>
          <w:b w:val="1"/>
          <w:bCs w:val="1"/>
          <w:color w:val="auto"/>
          <w:highlight w:val="black"/>
        </w:rPr>
        <w:t>x</w:t>
      </w:r>
    </w:p>
    <w:p>
      <w:pPr>
        <w:spacing w:after="0" w:line="109" w:lineRule="exact"/>
        <w:rPr>
          <w:sz w:val="24"/>
          <w:szCs w:val="24"/>
          <w:color w:val="auto"/>
        </w:rPr>
      </w:pPr>
    </w:p>
    <w:p>
      <w:pPr>
        <w:ind w:right="140"/>
        <w:spacing w:after="0" w:line="283" w:lineRule="auto"/>
        <w:rPr>
          <w:sz w:val="20"/>
          <w:szCs w:val="20"/>
          <w:color w:val="auto"/>
        </w:rPr>
      </w:pPr>
      <w:r>
        <w:rPr>
          <w:rFonts w:ascii="Times New Roman" w:cs="Times New Roman" w:eastAsia="Times New Roman" w:hAnsi="Times New Roman"/>
          <w:sz w:val="14"/>
          <w:szCs w:val="14"/>
          <w:b w:val="1"/>
          <w:bCs w:val="1"/>
          <w:color w:val="auto"/>
        </w:rPr>
        <w:t>The aggregate market value of the 1,707,001,363 shares of voting stock held by nonaffiliates of the registrant, computed by reference to the closing price as reported on the New York Stock Exchange, as of the last business day of Abbott Laboratories’ most recently completed second fiscal quarter (June 30, 2025), was $232,169,255,381. Abbott has no non-voting common equity. Number of common shares outstanding as of January 31, 2026: 1,737,682,887</w:t>
      </w:r>
    </w:p>
    <w:p>
      <w:pPr>
        <w:spacing w:after="0" w:line="1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Portions of the 2026 Abbott Laboratories Proxy Statement are incorporated by reference into Part III. The Proxy Statement will be filed on or about March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715010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6"/>
        </w:trPr>
        <w:tc>
          <w:tcPr>
            <w:tcW w:w="12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8760" w:type="dxa"/>
            <w:vAlign w:val="bottom"/>
          </w:tcPr>
          <w:p>
            <w:pPr>
              <w:ind w:left="36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760" w:type="dxa"/>
            <w:vAlign w:val="bottom"/>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5"/>
        </w:trPr>
        <w:tc>
          <w:tcPr>
            <w:tcW w:w="1340" w:type="dxa"/>
            <w:vAlign w:val="bottom"/>
            <w:gridSpan w:val="2"/>
            <w:vMerge w:val="continue"/>
          </w:tcPr>
          <w:p>
            <w:pPr>
              <w:spacing w:after="0"/>
              <w:rPr>
                <w:sz w:val="17"/>
                <w:szCs w:val="17"/>
                <w:color w:val="auto"/>
              </w:rPr>
            </w:pPr>
          </w:p>
        </w:tc>
        <w:tc>
          <w:tcPr>
            <w:tcW w:w="8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Business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 Factors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Cybersecurity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Legal Proceedings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4"/>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Mine Safety Disclosures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495"/>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Financial Statements and Supplementary Data</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Controls and Procedures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Information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4"/>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495"/>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8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4"/>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495"/>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8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and Financial Statement Schedules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9"/>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10-K Summary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4"/>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87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019"/>
        </w:trPr>
        <w:tc>
          <w:tcPr>
            <w:tcW w:w="1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7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DEVELOPMENT OF BUSINESS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Abbott Laboratories is an Illinois corporation, incorporated in 1900. Abbott’s* principal business is the discovery, development, manufacture, and sale of a broad and diversified line of healthcare products.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19, 2025, Abbott entered into a definitive agreement to acquire Exact Sciences Corporation (Exact Sciences), which is expected to enable Abbott to enter the cancer diagnostics market. The acquisition is subject to customary closing conditions, including the approval of Exact Sciences shareholders and obtaining the required regulatory clearances.</w:t>
      </w:r>
    </w:p>
    <w:p>
      <w:pPr>
        <w:spacing w:after="0" w:line="17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NARRATIVE DESCRIPTION OF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Abbott has four reportable segments: Established Pharmaceutical Products, Diagnostic Products, Nutritional Products, and Medical Devices.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Established Pharmaceutical Products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products include a broad line of branded generic pharmaceuticals manufactured worldwide and marketed and sold outside the United States in emerging markets. These products are generally sold directly to wholesalers, distributors, government agencies, healthcare facilities, pharmacies, and independent retailers from Abbott-owned distribution centers or public warehouses, depending on the market served. Certain products are co-marketed or co-promoted with, or licensed from, other companies.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products included in the broad therapeutic area portfolios of the Established Pharmaceutical Products segment are:</w:t>
      </w:r>
    </w:p>
    <w:p>
      <w:pPr>
        <w:spacing w:after="0" w:line="117" w:lineRule="exact"/>
        <w:rPr>
          <w:sz w:val="20"/>
          <w:szCs w:val="20"/>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gastroenterology products, including Creon™, for the treatment of pancreatic exocrine insufficiency associated with several underlying conditions, including cystic fibrosis and chronic pancreatitis; Duspatal™ and Dicetel™, for the treatment of irritable bowel syndrome or biliary spasm; Heptral™, Transmetil™, and Samyr™, for the treatment of intrahepatic cholestasis (associated with liver disease) or depressive symptoms; and Duphalac™, for regulation of the physiological rhythm of the colon;</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women’s health products, including Duphaston™, for the treatment of gynecological disorders; and Femoston™, a hormone replacement therapy for postmenopausal women;</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cardiovascular and metabolic products, including Lipanthyl™ and TriCor™, for the treatment of dyslipidemia and diabetic retinopathy; Omacor™, for the treatment of hypertriglyceridemia; Physiotens™, for the treatment of hypertension; and Synthroid™, for the treatment of hypothyroidism;</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pain and central nervous system products, including Serc™, for the treatment of Ménière’s disease and vestibular vertigo; Brufen™, for the treatment of pain, fever, and inflammation; and Sevedol™, for the treatment of severe migraines;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respiratory drugs and vaccines, including the anti-infective clarithromycin (sold under the trademarks Klacid™, Claribid™, and Klaricid™); and Influvac™, an influenza vaccine;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biologic products, which include biosimilars in the areas of oncology, immunology, and women's health.</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Established Pharmaceutical Products segment directs its primary marketing efforts toward building strong brands with key stakeholders, including consumers, pharmacists, physicians, and other healthcare providers. Government agencies are also important customers.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w:t>
      </w:r>
    </w:p>
    <w:p>
      <w:pPr>
        <w:spacing w:after="0" w:line="109" w:lineRule="exact"/>
        <w:rPr>
          <w:sz w:val="20"/>
          <w:szCs w:val="20"/>
          <w:color w:val="auto"/>
        </w:rPr>
      </w:pPr>
    </w:p>
    <w:p>
      <w:pPr>
        <w:ind w:left="340" w:hanging="332"/>
        <w:spacing w:after="0" w:line="282"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throughout the text of this report on Form 10-K, the term “Abbott” refers to Abbott Laboratories, an Illinois corporation, or Abbott Laboratories and its consolidated subsidiaries, as the context requires.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Competition in the Established Pharmaceutical Products segment is generally from other healthcare and pharmaceutical companies. In addition, the substitution of generic drugs for the brand prescribed and introduction of additional forms of already marketed established products by generic or branded competitors may increase competitive pressures.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Diagnostic Products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products include a broad line of diagnostic systems and tests manufactured, marketed, and sold worldwide. These products are generally marketed and sold directly to blood banks, hospitals, commercial laboratories, clinics, physicians’ offices, retailers, government agencies, alternate care testing sites, and plasma protein therapeutic companies from Abbott-owned distribution centers, public warehouses or third-party distributors.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products included in the Diagnostic Products segment are:</w:t>
      </w:r>
    </w:p>
    <w:p>
      <w:pPr>
        <w:spacing w:after="0" w:line="117" w:lineRule="exact"/>
        <w:rPr>
          <w:sz w:val="20"/>
          <w:szCs w:val="20"/>
          <w:color w:val="auto"/>
        </w:rPr>
      </w:pPr>
    </w:p>
    <w:p>
      <w:pPr>
        <w:jc w:val="both"/>
        <w:ind w:left="660" w:hanging="328"/>
        <w:spacing w:after="0" w:line="23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laboratory and transfusion medicine systems in the areas of immunoassay, clinical chemistry, hematology, and transfusion serology testing, including the Alinity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family of instruments along with the ARCHITECT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Cell-Dyn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systems. These systems are used for screening and/or diagnosis for cancer, cardiac and metabolic disorders, drugs of abuse, thyroid function, fertility, neurologic and general chemistries, infectious diseases such as hepatitis and HIV, therapeutic drug monitoring, and a suite of SARS-CoV-2 serology assays;</w:t>
      </w:r>
    </w:p>
    <w:p>
      <w:pPr>
        <w:spacing w:after="0" w:line="86" w:lineRule="exact"/>
        <w:rPr>
          <w:rFonts w:ascii="Times New Roman" w:cs="Times New Roman" w:eastAsia="Times New Roman" w:hAnsi="Times New Roman"/>
          <w:sz w:val="18"/>
          <w:szCs w:val="18"/>
          <w:color w:val="auto"/>
        </w:rPr>
      </w:pPr>
    </w:p>
    <w:p>
      <w:pPr>
        <w:jc w:val="both"/>
        <w:ind w:left="660" w:hanging="328"/>
        <w:spacing w:after="0" w:line="24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molecular diagnostics polymerase chain reaction (PCR) instrument systems, including Alinity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 and m2000™ that automate the extraction, purification, and preparation of DNA and RNA from patient samples, and detect and measure infectious agents including HIV, hepatitis, HPV, sexually transmitted infections, SARS-CoV-2 and influenza A &amp; B, and respiratory syncytial virus (RSV); and products for oncology with the Vysis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FISH product line of genomic-based tests;</w:t>
      </w:r>
    </w:p>
    <w:p>
      <w:pPr>
        <w:spacing w:after="0" w:line="17" w:lineRule="exact"/>
        <w:rPr>
          <w:rFonts w:ascii="Times New Roman" w:cs="Times New Roman" w:eastAsia="Times New Roman" w:hAnsi="Times New Roman"/>
          <w:sz w:val="18"/>
          <w:szCs w:val="18"/>
          <w:color w:val="auto"/>
        </w:rPr>
      </w:pPr>
    </w:p>
    <w:p>
      <w:pPr>
        <w:ind w:left="660" w:right="20" w:hanging="328"/>
        <w:spacing w:after="0" w:line="23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point-of-care systems, including the i-STAT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i-STAT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Alinity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cartridges for testing blood gas, chemistry, electrolytes, coagulation and immunoassay;</w:t>
      </w:r>
    </w:p>
    <w:p>
      <w:pPr>
        <w:spacing w:after="0" w:line="88" w:lineRule="exact"/>
        <w:rPr>
          <w:rFonts w:ascii="Times New Roman" w:cs="Times New Roman" w:eastAsia="Times New Roman" w:hAnsi="Times New Roman"/>
          <w:sz w:val="18"/>
          <w:szCs w:val="18"/>
          <w:color w:val="auto"/>
        </w:rPr>
      </w:pPr>
    </w:p>
    <w:p>
      <w:pPr>
        <w:jc w:val="both"/>
        <w:ind w:left="660" w:hanging="328"/>
        <w:spacing w:after="0" w:line="21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diagnostics lateral flow testing products in the area of infectious diseases such as SARS-CoV-2, including the BinaxNOW</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Panbio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rapid testing platforms, influenza, HIV, hepatitis, and tropical diseases such as malaria and dengue fever; molecular point-of-care testing for HIV, including the m-PIMA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HIV-1/2 Viral Load Test, and for SARS-CoV-2 and influenza A &amp; B, RSV and strep A, including the ID NOW</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rapid molecular system; cardiometabolic testing, including Afinion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Cholestech LDX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platforms and tests; and a toxicology business for drug and alcohol testing; and</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3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informatics and automation solutions for use in various care settings, including laboratory automation systems such as the GLP systems Track™, AlinIQ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suite of informatics tools and professional services, the Indexor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system for pre-analytics sample traceability, and the 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point-of-care solution.</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Diagnostic Products segment’s products are subject to competition in technological innovation, price, convenience of use, service, instrument warranty provisions, product performance, laboratory efficiency, long-term supply contracts, and product potential for overall cost-effectiveness and productivity gains. Some products in this segment can be subject to rapid product obsolescence or regulatory changes. Although Abbott has benefited from technological advantages of certain of its current products, these advantages may be reduced or eliminated as competitors introduce new products.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Nutritional Products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products include a broad line of pediatric and adult nutritional products manufactured, marketed, and sold worldwide. These products are generally marketed and sold directly to consumers and to institutions, wholesalers, retailers, healthcare facilities, government agencies, and third-party distributors from Abbott-owned distribution centers or third-party distributors.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products included in the Nutritional Products segment are:</w:t>
      </w:r>
    </w:p>
    <w:p>
      <w:pPr>
        <w:spacing w:after="0" w:line="114" w:lineRule="exact"/>
        <w:rPr>
          <w:sz w:val="20"/>
          <w:szCs w:val="20"/>
          <w:color w:val="auto"/>
        </w:rPr>
      </w:pPr>
    </w:p>
    <w:p>
      <w:pPr>
        <w:jc w:val="both"/>
        <w:ind w:left="660" w:hanging="328"/>
        <w:spacing w:after="0" w:line="219"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forms of infant formula and follow-on formula, including Similac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Similac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360 Total Care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Similac Pro-Advance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Similac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Similac 360 Total Care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Sensitive, Similac Sensitive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Go &amp; Grow by Similac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Similac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NeoSure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Similac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Organic, Similac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Special Care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Similac Total Comfort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Similac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Soy Isomil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Similac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Alimentum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EleCare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Gain™, and Grow™;</w:t>
      </w:r>
    </w:p>
    <w:p>
      <w:pPr>
        <w:spacing w:after="0" w:line="4"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adult and other pediatric nutritional products, including Ensure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Ensure Plus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Ensure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NutriVigor™, Ensure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Max Protein, Ensure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High Protein, Glucerna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Glucerna Hunger Smart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ProSure™, PediaSure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PediaSure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Peptide, Juven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Abound™, and Pedialyte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right="20" w:hanging="328"/>
        <w:spacing w:after="0" w:line="23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nutritional products used in enteral feeding in healthcare institutions, including Jevity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Glucerna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1.2 Cal, Glucerna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1.5 Cal, Osmolite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Oxepa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Freego™ (Enteral Pump) and Freego™ sets, Nepro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Vital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Primary marketing efforts for nutritional products are directed toward consumers or physicians or other healthcare professionals. In addition, nutritional products are also promoted directly to the public by consumer marketing efforts in markets where permitted.</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Competition for nutritional products in the segment is generally from other diversified consumer and healthcare manufacturers. Competitive factors include consumer preferences, advertising, formulation, packaging, scientific innovation, price, retail distribution, and availability of product forms. A significant aspect of competition is the search for ingredient innovations. The introduction of new products by competitors, changes in medical practices and procedures, and regulatory changes can result in product obsolescence. In addition, private label and local manufacturers’ products may increase competitive pressure.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Medical Devices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products include a broad line of rhythm management, electrophysiology, heart failure, vascular, and structural heart devices for the treatment of cardiovascular diseases, and diabetes care and continuous glucose monitoring (CGM) products, as well as neuromodulation devices for the management of chronic pain and movement disorders. Medical devices are manufactured, marketed and sold worldwide. In the United States, depending upon the product, medical devices are generally marketed and sold directly to wholesalers, hospitals, ambulatory surgery centers, physicians’ offices, consumers, and distributors from Abbott-owned distribution centers, public warehouses or third-party distributors. Outside the United States, sales are made either directly to customers or through distributors, depending on the market served.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products included in the Medical Devices segment are:</w:t>
      </w:r>
    </w:p>
    <w:p>
      <w:pPr>
        <w:spacing w:after="0" w:line="235" w:lineRule="exact"/>
        <w:rPr>
          <w:sz w:val="20"/>
          <w:szCs w:val="20"/>
          <w:color w:val="auto"/>
        </w:rPr>
      </w:pPr>
    </w:p>
    <w:p>
      <w:pPr>
        <w:jc w:val="both"/>
        <w:ind w:left="660" w:hanging="328"/>
        <w:spacing w:after="0" w:line="20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rhythm management products, including Assurity MRI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Endurity MRI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pacemaker systems, and Aveir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single-chamber (VR and AR) and Aveir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dual chamber (DR) leadless pacemaker systems; Ellipse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Fortify Assura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Gallant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implantable cardioverter defibrillators (ICD) and Gallant and Quadra Assura MP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ICD with cardiac resynchronization therapy and MultiPoint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Pacing technology; and Confirm Rx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Jot Dx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ASSERT-IQ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implantable cardiac monitors;</w:t>
      </w:r>
    </w:p>
    <w:p>
      <w:pPr>
        <w:spacing w:after="0" w:line="19" w:lineRule="exact"/>
        <w:rPr>
          <w:rFonts w:ascii="Times New Roman" w:cs="Times New Roman" w:eastAsia="Times New Roman" w:hAnsi="Times New Roman"/>
          <w:sz w:val="18"/>
          <w:szCs w:val="18"/>
          <w:color w:val="auto"/>
        </w:rPr>
      </w:pPr>
    </w:p>
    <w:p>
      <w:pPr>
        <w:jc w:val="both"/>
        <w:ind w:left="660" w:hanging="328"/>
        <w:spacing w:after="0" w:line="21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electrophysiology products, including the Volt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Pulsed Field Ablation System, the TactiFlex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TactiCath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families of ablation catheters, including the TactiFlex™ Duo Ablation Catheter, Sensor Enabled™, and FlexAbility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irrigated ablation catheters; the EnSite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family of cardiac mapping systems; Agilis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NxT and Swartz™ introducer catheters; the Advisor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HD Grid mapping catheter; and the ViewFlex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family of intracardiac echocardiography catheters;</w:t>
      </w:r>
    </w:p>
    <w:p>
      <w:pPr>
        <w:spacing w:after="0" w:line="88" w:lineRule="exact"/>
        <w:rPr>
          <w:rFonts w:ascii="Times New Roman" w:cs="Times New Roman" w:eastAsia="Times New Roman" w:hAnsi="Times New Roman"/>
          <w:sz w:val="18"/>
          <w:szCs w:val="18"/>
          <w:color w:val="auto"/>
        </w:rPr>
      </w:pPr>
    </w:p>
    <w:p>
      <w:pPr>
        <w:jc w:val="both"/>
        <w:ind w:left="660" w:hanging="328"/>
        <w:spacing w:after="0" w:line="21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heart failure related products, including the HeartMate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left ventricular assist device family; the CardioMEMS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HF System pulmonary artery sensor, a heart failure monitoring system; the CentriMag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System, an acute mechanical circulatory support system; and patient self-testing products and services;</w:t>
      </w:r>
    </w:p>
    <w:p>
      <w:pPr>
        <w:spacing w:after="0" w:line="87" w:lineRule="exact"/>
        <w:rPr>
          <w:rFonts w:ascii="Times New Roman" w:cs="Times New Roman" w:eastAsia="Times New Roman" w:hAnsi="Times New Roman"/>
          <w:sz w:val="18"/>
          <w:szCs w:val="18"/>
          <w:color w:val="auto"/>
        </w:rPr>
      </w:pPr>
    </w:p>
    <w:p>
      <w:pPr>
        <w:jc w:val="both"/>
        <w:ind w:left="660" w:hanging="328"/>
        <w:spacing w:after="0" w:line="209"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vascular products, including the XIENCE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family of drug-eluting coronary stent systems developed on the Multi-Link Vision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 StarClose 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Perclose ProGlide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Perclose ProStyle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vessel closure devices, TREK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coronary balloon dilatation products, Hi-Torque Balance Middleweight Universal II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guidewires, Supera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Peripheral Stent System, a peripheral vascular stent system; Acculink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Xact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/Emboshield NAV6</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carotid stent systems; the OPTIS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integrated systems with Ultreon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1.0 and 2.0 Software, compatible with the Dragonfly OPTIS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Dragonfly OpStar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imaging catheters and PressureWire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fractional flow reserve measurement systems; Diamondback 360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coronary and peripheral orbital atherectomy systems; and the Esprit™ BTK everolimus eluting resorbable scaffold system;</w:t>
      </w:r>
    </w:p>
    <w:p>
      <w:pPr>
        <w:spacing w:after="0" w:line="22" w:lineRule="exact"/>
        <w:rPr>
          <w:rFonts w:ascii="Times New Roman" w:cs="Times New Roman" w:eastAsia="Times New Roman" w:hAnsi="Times New Roman"/>
          <w:sz w:val="18"/>
          <w:szCs w:val="18"/>
          <w:color w:val="auto"/>
        </w:rPr>
      </w:pPr>
    </w:p>
    <w:p>
      <w:pPr>
        <w:jc w:val="both"/>
        <w:ind w:left="660" w:hanging="328"/>
        <w:spacing w:after="0" w:line="21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 heart products, including MitraClip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mitral valve transcatheter edge-to-edge repair system; TriClip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tricuspid valve transcatheter edge-to-edge repair system; Epic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surgical family of aortic valve and mitral valve replacement devices; Navitor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transcatheter aortic heart valves; Regent™ and Masters Series™ mechanical heart valves; Amplatzer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PFO occluders; Amplatzer Amulet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occluder devices; and the Tendyne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transcatheter mitral valve replacement system;</w:t>
      </w:r>
    </w:p>
    <w:p>
      <w:pPr>
        <w:spacing w:after="0" w:line="19" w:lineRule="exact"/>
        <w:rPr>
          <w:rFonts w:ascii="Times New Roman" w:cs="Times New Roman" w:eastAsia="Times New Roman" w:hAnsi="Times New Roman"/>
          <w:sz w:val="18"/>
          <w:szCs w:val="18"/>
          <w:color w:val="auto"/>
        </w:rPr>
      </w:pPr>
    </w:p>
    <w:p>
      <w:pPr>
        <w:jc w:val="both"/>
        <w:ind w:left="660" w:hanging="328"/>
        <w:spacing w:after="0" w:line="21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glucose and blood glucose monitoring systems under the FreeStyle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Libre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brands such as the FreeStyle Libre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system, including sensors, data management decision software, test strips, and accessories for people with diabetes; and the Lingo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CGM system, including sensors and data management decision software for people’s health and wellness; and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660" w:hanging="328"/>
        <w:spacing w:after="0" w:line="21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neuromodulation products, including spinal cord stimulators Proclaim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Plus and Proclaim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XR recharge-free implantable pulse generators (IPG) and rechargeable Eterna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IPG, each with BurstDR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stimulation, and Proclaim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DRG IPG, a neurostimulation device designed for dorsal root ganglion therapy, for the treatment of chronic pain disorders; and the non-rechargeable Infinity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deep brain stimulation (DBS) system and the rechargeable Liberta RC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DBS system, each with directional lead technology for the treatment of movement disorders.</w:t>
      </w:r>
    </w:p>
    <w:p>
      <w:pPr>
        <w:spacing w:after="0" w:line="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products are subject to competition in technological innovation, price, convenience of use, service, product performance, long-term supply contracts, and product potential for overall cost-effectiveness and productivity gains. Some products in this segment can be subject to rapid product obsolescence or regulatory changes. Although Abbott has benefited from technological advantages of certain of its current products, these advantages may be reduced or eliminated as competitors introduce new products.</w:t>
      </w:r>
    </w:p>
    <w:p>
      <w:pPr>
        <w:spacing w:after="0" w:line="176" w:lineRule="exact"/>
        <w:rPr>
          <w:sz w:val="20"/>
          <w:szCs w:val="20"/>
          <w:color w:val="auto"/>
        </w:rPr>
      </w:pPr>
    </w:p>
    <w:p>
      <w:pPr>
        <w:ind w:right="2560" w:firstLine="2562"/>
        <w:spacing w:after="0" w:line="378" w:lineRule="auto"/>
        <w:rPr>
          <w:sz w:val="20"/>
          <w:szCs w:val="20"/>
          <w:color w:val="auto"/>
        </w:rPr>
      </w:pPr>
      <w:r>
        <w:rPr>
          <w:rFonts w:ascii="Times New Roman" w:cs="Times New Roman" w:eastAsia="Times New Roman" w:hAnsi="Times New Roman"/>
          <w:sz w:val="18"/>
          <w:szCs w:val="18"/>
          <w:b w:val="1"/>
          <w:bCs w:val="1"/>
          <w:color w:val="auto"/>
        </w:rPr>
        <w:t>INFORMATION WITH RESPECT TO ABBOTT’S BUSINESS IN GENERAL Sources and Availability of Raw Materials</w:t>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Abbott purchases, in the ordinary course of business, raw materials and supplies essential to Abbott’s operations from numerous suppliers in the United States and around the world. There have been no recent significant availability problems or supply shortages for raw materials or supplies.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Trademarks, and Licenses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Abbott is aware of the desirability for patent and trademark protection for its products. Accordingly, where possible, patents and trademarks are sought and obtained for Abbott’s products in the United States and countries of interest to Abbott. Abbott owns or has licenses under a substantial number of patents and patent applications. Principal trademarks and the products they cover are discussed in the Narrative Description of Business on pages 1 through 4. These, and various patents that expire during the period from 2026 to 2046, in the aggregate, are believed to be of material importance in the operation of Abbott’s business. Abbott believes that no single patent, license, or trademark is material in relation to Abbott’s business as a whole.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 Aspects, Customers, and Renegotiation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significant seasonal aspects to Abbott’s business. Abbott has no single customer that, if the customer was lost, would have a material adverse effect on Abbott. No material portion of Abbott’s business is subject to renegotiation of profits or termination of contracts at the election of a government.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Abbott believes that its operations comply in all material respects with applicable laws and regulations concerning environmental protection. Regulations under federal, state, and various other countries’ environmental laws impose stringent limitations on emissions and discharges to the environment from various manufacturing operations. Abbott’s capital and operating expenditures for pollution control in 2025 were not material and are not expected to be material in 2026.</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Abbott has been identified as one of many potentially responsible parties in investigations and/or remediations at several locations in the United States, including Puerto Rico, under the Comprehensive Environmental Response, Compensation, and Liability Act, commonly known as Superfund. Abbott is also engaged in remediation at several other sites, some of which are owned by Abbott, in cooperation with the Environmental Protection Agency or similar agencies. While it is not feasible to predict with certainty the final costs related to those investigations and remediation activities, Abbott believes that such costs, together with other expenditures to maintain compliance with applicable laws and regulations concerning environmental protection, should not have a material adverse effect on Abbott’s financial position, cash flows, or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sustainability of Abbott’s business depends on attracting, engaging and developing talented people with a variety of perspectives who share Abbott’s mission to help people live their healthiest possible lives. Abbott provides its employees opportunities to grow and develop their careers, market competitive compensation and benefit programs, and the satisfaction of being part of a global company dedicated to improving health in more than 160 countries.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Abbott employed approximately 115,000 people, 69% of whom were employed outside of the U.S. Women represented 47% of Abbott’s U.S. workforce, 46% of its global workforce, and 44% of its managers.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Management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Abbott has an integrated global talent management process that is designed to identify and assess talent across the organization and provide equal and consistent opportunities for employees to develop their skills. All levels of employees participate in Abbott’s annual performance management process to create development plans that support their particular career objectives, and Abbott provides a broad range of training, mentoring and other development opportunities to help its employees meet these objectives. The Board of Directors conducts an annual Talent Management Review, focusing on development of talent and succession planning for critical positions. Similar reviews take place across Abbott to develop talent across the organization.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Culture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Creating a culture of belonging is inherent to Abbott's business, from its leadership and benefits to its employee networks and programs. Abbott is committed to fostering a workplace environment that allows its employees to reach their full potential. Abbott ties executive compensation to human capital management to sustain an inclusive culture and the fair and balanced treatment of Abbott’s employees.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Abbott’s employee networks play an important role in building an inclusive culture across all Abbott operations. A corporate officer serves as a sponsor for each of these networks, helping to align their objectives with Abbott’s business strategies. Abbott has nine such networks, which are: Asian Leadership and Cultural Network, Black Business Network, disABILITY Network (supporting employees with disabilities), Early Career Network (supporting early career employees), LA VOICE Network (supporting Hispanic and Latino employees), PRIDE (supporting LGBTQ employees), Veterans Network, Women Leaders of Abbott, and Women in STEM. All networks are open to all Abbott employees.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Abbott offers professional development programs, which provide recent college graduates the opportunity to rotate through different areas of Abbott, often with the chance to work outside their home country. Also, Abbott hosts hundreds of college students for paid internships. Further, Abbott has offered a STEM internship program for high school students in the U.S. since 2012 and since 2021, students who complete the program receive a college credit recommendation from the American Council on Education. The program’s objective is to increase the number of students pursuing STEM-related careers and advance the pipeline for Abbott.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health, safety and wellness of its employees is an Abbott priority embedded at every level of its business. Abbott’s integrated Environmental, Health and Safety organization governs health, safety and wellness at Abbott’s facilities. Abbott also maintains global policies and standards for managing employee health and safety.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Abbott takes a holistic approach to employee well-being. Abbott’s global wellness programs are designed to meet the unique needs of employees across businesses and geographies and offer a wide range of programs, including supporting the emotional, physical, and financial health of employees and their families. For example, for over 20 years, Abbott has annually offered Exercise Across Abbott, which is a four-week physical wellness program that encourages employees to team up with colleagues and track how many minutes they exercise each day. Over 50,000 Abbott employees across 84 countries took part in 2025.</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Abbott is committed to building, retaining, and motivating a talent pipeline that can meet the current and future needs of its businesses. To that end, Abbott provides market competitive compensation, healthcare benefits, continuing education benefits, retirement plans, financial support for employees with student loan debt, and several programs to facilitate employees building an ownership stake in Abbott, including a global long-term incentive program for employees generally beginning at the manager level. Abbott also has procedures and processes focused on ensuring employees receive equitable compensation, regardless of race or gender or other personal characteristics.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development, manufacture, marketing, sale, promotion, and distribution of Abbott’s products are subject to comprehensive government regulation by the U.S. Food and Drug Administration (FDA) and similar national and international regulatory agencies. Government regulation by various international, supranational, federal and state agencies addresses (among other matters) the development and approval to market Abbott’s products, as well as the inspection of, and controls over, research and laboratory procedures, clinical investigations, product approvals and manufacturing, post-market changes to products, labeling, packaging, raw materials, supply chains, marketing and promotion, pricing and reimbursement, sampling, distribution, quality control, post-market surveillance, record keeping, storage, and product design and disposal practices. In addition, Abbott’s laboratories and associated testing services are subject to comprehensive government regulation, including registration, certification, and licensure, by federal, state, and local agencies, such as the Centers for Medicare &amp; Medicaid Services, the Drug Enforcement Administration, the Substance Abuse and Mental Health Services Administration, and their respective foreign counterparts. Certain of these agencies require Abbott's laboratories to meet quality assurance, quality control, and personnel standards and undergo inspections.</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Abbott’s international operations are also affected by trade and investment regulations in many countries. These may require local investment, restrict Abbott’s investments, or limit the import of raw materials and finished products.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Abbott’s laboratory facilities, home monitoring services, and durable medical equipment suppliers, which provide services, related products and medical devices to consumers, are subject to additional laws and regulations applicable to healthcare providers and suppliers that submit claims for reimbursement or payment to third-party payors, including government agencies such as Medicare and Medicaid, or governments. In the United States, these entities may from time to time conduct inquiries, claims audits, investigations, and enforcement actions relating to the claims or enrollment criteria.</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Abbott is subject to laws and regulations pertaining to healthcare fraud and abuse, including state and federal anti-kickback, anti-self-referral, and false claims laws in the United States. Prescription drug, nutrition, and medical device manufacturers such as Abbott are also subject to taxes, as well as application, product, user, establishment, and other fees. Governmental agencies can also invalidate intellectual property rights.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Compliance with these laws and regulations is costly and materially affects Abbott’s business. Among other effects, regulations and significant changes thereto substantially increase the time, difficulty, and costs incurred in developing, obtaining and maintaining approval to market, and marketing newly developed and existing products. Abbott expects this regulatory environment will continue to require significant technical expertise and investment to ensure compliance. Failure to comply can delay the release of a new product or result in regulatory and enforcement actions, the seizure or recall of a product, the suspension or revocation of the authority necessary for a product’s production and sale, suspension or revocation of billing privileges, and other civil or criminal sanctions, including fines and penalties. Similarly, compliance with the laws and regulations governing laboratories and testing services requires specialized expertise. Failure to comply with these regulatory requirements can result in sanctions, including suspension, revocation, or limitation of a laboratory’s certification, which is necessary to conduct business, as well as significant fines or criminal penalties.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Abbott’s business can also be affected by ongoing studies of the utilization, safety, efficacy, and outcomes of healthcare products and their components that are regularly conducted by industry participants, government agencies, and others. These studies can call into question the utilization, safety, and efficacy of previously marketed products. In some cases, these studies have resulted, and may in the future result, in the discontinuation of marketing of such products in one or more countries, and may give rise to claims for damages from persons who believe they have been injured as a result of their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Access to human healthcare products continues to be a subject of investigation and action by governmental agencies, legislative bodies, and private organizations in many countries. A major focus is cost containment. Efforts to reduce healthcare costs are also being made in the private sector, notably by healthcare payors and providers, which have instituted various cost reduction and containment measures. Abbott expects that insurers and providers will continue attempts to reduce the cost or utilization of healthcare products. Many countries control the price of healthcare products directly or indirectly, through reimbursement, payment, pricing, or coverage limitations. Budgetary pressures on healthcare payors may also heighten the scope and severity of pricing pressures on Abbott’s products for the foreseeable future. In the United States, the federal government regularly evaluates reimbursement for medical devices, diagnostics, supplies, and other products, as well as the procedures in which these products may be used. The government follows a diagnosis-related group (DRG) payment system for certain institutional services provided under Medicare or Medicaid and has implemented a prospective payment system (PPS) for services delivered in hospital outpatient, nursing home, and home health settings. DRG and PPS entitle a healthcare facility to a fixed reimbursement based on the diagnosis and/or procedure rather than actual costs incurred in patient treatment, thereby increasing the incentive for the facility to limit or control expenditures for many healthcare products. Other payment methodology changes have been proposed and implemented from time to time. For example, Medicare implemented a competitive bidding system for certain durable medical equipment (including diabetes products), enteral nutrition products, and supplies.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Governmental cost containment efforts also affect Abbott’s nutritional products business. In the United States, for example, under regulations governing the federally funded Special Supplemental Nutrition Program for Women, Infants, and Children (WIC), all states must have a cost containment program for infant formula. As a result, through competitive bidding states obtain rebates from manufacturers of infant formula whose products are used in the program.</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Patient Protection and Affordable Care Act (the Affordable Care Act) includes provisions known as the Physician Payments Sunshine Act, which require manufacturers of covered drugs, devices, and medical supplies to record any transfers of value to healthcare professionals and teaching hospitals and to report this data to the Centers for Medicare &amp; Medicaid Services for subsequent public disclosure. Similar reporting requirements have also been enacted at the state level domestically, and an increasing number of governments worldwide either have adopted or are considering similar laws requiring transparency of interactions with healthcare professionals.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Policy changes or implementation of new healthcare legislation could result in significant changes to healthcare systems. In the United States, this could include potential modification, including expansion or repeal of all or parts of the Affordable Care Act.</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regulation of data privacy and security, and the protection of the confidentiality of certain personal information (including patient health information, financial information, and other sensitive personal information) and non-personal information (including de-identified, anonymized, and other non-personal data), is expanding globally and becoming more complex. For example, the European Union, China, various other countries, and various U.S. states have enacted or are considering enacting data protection laws that contain significant compliance obligations and financial penalties for noncompliance. In addition, regulators with general consumer protection authority, such as the U.S. Federal Trade Commission and U.S. states Attorneys General, are focused on how consumer data is used by entities in the healthcare industry. Further, there are regulations of data privacy and security that are specific to healthcare companies. For example, the U.S. Department of Health and Human Services has issued rules governing the use, disclosure, and security of protected health information, and the FDA has issued further guidance concerning cybersecurity for medical devices. In addition, certain countries have issued or are considering “data localization” laws, which limit companies’ ability to transfer protected data across country borders. Failure to comply with data privacy and security laws and regulations can result in business disruption and enforcement actions, which could include civil or criminal penalties. Transferring and managing protected information will become more challenging as laws and regulations are enacted or amended, and Abbott expects there will be increasing complexity and enforcement in this area.</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Abbott expects debate to continue at all government levels worldwide over the manufacture, quality assurance requirements, marketing authorization processes, post-market surveillance requirements, availability, method of delivery, and payment for healthcare products and services, as well as data privacy and security. Abbott believes that future legislation and regulation in the markets it serves could affect the timing and expense associated with bringing healthcare products or services to market, access to healthcare products and services, increase rebates, reduce prices or reimbursements or the rate of price increases for healthcare products and services, change healthcare delivery systems, create new fees and obligations for the pharmaceutical, nutrition, diagnostic, and medical device industries, or require additional reporting and disclosure. It is not possible to predict the extent to which Abbott or the healthcare industry in general might be affected by the matters discussed above.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INTERNET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Copies of Abbott’s Annual Report on Form 10-K, Quarterly Reports on Form 10-Q, Current Reports on Form 8-K, and amendments to those reports filed or furnished pursuant to Section 13(a) or 15(d) of the Securities Exchange Act of 1934 are available, free of charge, through Abbott’s investor relations website (</w:t>
      </w:r>
      <w:r>
        <w:rPr>
          <w:rFonts w:ascii="Times New Roman" w:cs="Times New Roman" w:eastAsia="Times New Roman" w:hAnsi="Times New Roman"/>
          <w:sz w:val="18"/>
          <w:szCs w:val="18"/>
          <w:i w:val="1"/>
          <w:iCs w:val="1"/>
          <w:color w:val="auto"/>
        </w:rPr>
        <w:t>www.abbottinvestor.com</w:t>
      </w:r>
      <w:r>
        <w:rPr>
          <w:rFonts w:ascii="Times New Roman" w:cs="Times New Roman" w:eastAsia="Times New Roman" w:hAnsi="Times New Roman"/>
          <w:sz w:val="18"/>
          <w:szCs w:val="18"/>
          <w:color w:val="auto"/>
        </w:rPr>
        <w:t>) as soon as reasonably practicable after Abbott electronically files the material with, or furnishes it to, the Securities and Exchange Commission (the Commission). These reports and other information are also available, free of charge, at www.sec.gov.</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Abbott’s corporate governance guidelines, outline of directorship qualifications, code of business conduct and the charters of Abbott’s Audit Committee, Compensation Committee, Nominations and Governance Committee, and Public Policy Committee are all available on Abbott’s investor relations website (</w:t>
      </w:r>
      <w:r>
        <w:rPr>
          <w:rFonts w:ascii="Times New Roman" w:cs="Times New Roman" w:eastAsia="Times New Roman" w:hAnsi="Times New Roman"/>
          <w:sz w:val="18"/>
          <w:szCs w:val="18"/>
          <w:i w:val="1"/>
          <w:iCs w:val="1"/>
          <w:color w:val="auto"/>
        </w:rPr>
        <w:t>www.abbottinvestor.com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other information in this report, the following risk factors should be considered before deciding to invest in any of Abbott’s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risks and uncertainties not presently known to Abbott, or risks Abbott currently considers immaterial, could also affect Abbott’s actual results.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Abbott’s business, financial condition, results of operations, or prospects could be materially adversely affected by any of these risks.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Operational Risks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Disruptions to Abbott’s global supply chain, which is large and complex, could negatively affect Abbott’s results of operations.</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Abbott’s operations and performance depend on its ability to manage its large and complex global supply chain. While Abbott has taken and will continue to take actions to mitigate the risks of disruptions to its global supply chain, disruptions to it could negatively affect Abbott's results of operations. For example, the COVID-19 pandemic and macroeconomic conditions such as inflationary pressures and labor shortages contributed to global supply chain challenges in the early part of the decade, which adversely impacted the cost and availability of certain raw materials, supplies, and services.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Abbott may acquire other businesses, license rights to technologies or products, form alliances, or dispose of or spin-off businesses, which could cause it to incur significant expenses and could negatively affect profitability.</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Abbott pursues acquisitions, licensing arrangements, and strategic alliances, or may dispose of or spin-off some of its businesses, as part of its business strategy. Abbott may not complete these transactions in a timely manner, on a cost-effective basis, or at all, and the expected benefits may not be realized or may not be realized within the expected time period. If Abbott is successful in making an acquisition, the products and technologies that are acquired may not be successful or may require significantly greater resources and investments than originally anticipated. Abbott may not be able to integrate acquisitions successfully into its existing business or transition disposed businesses efficiently, and could incur or assume significant debt and unknown or contingent liabilities. Abbott could also experience negative effects on its reported results of operations from acquisition or disposition-related charges, amortization of expenses related to intangible assets and charges for impairment of long-lived assets. These effects could cause a deterioration of Abbott’s credit rating, result in increased borrowing costs and interest expense, and decrease liquidity.</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Abbott depends on sophisticated information systems and maintains protected personal data, and a significant cybersecurity incident or other disruption affecting these information systems or protected data could have a material adverse effect on Abbott’s business, financial condition and results of operations.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Similar to other large multi-national companies, the size and complexity of the information systems on which Abbott relies for both its infrastructure and products make them susceptible to a cybersecurity incident, breakdown, destruction, loss of data privacy, or other significant disruption. These systems have been and are expected to continue to be the target of malware and other cybersecurity incidents. In addition, third-party hacking attempts may cause Abbott’s information systems and related products, protected data, or proprietary information to be compromised or stolen. A significant cybersecurity incident or other disruption could result in adverse consequences, including regulatory inquiries or litigation, increased costs and expenses, manufacturing challenges or disruption, problems with product availability, functionality or safety, damage to customer relations, reputational damage, lost revenue, and fines or penalties.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Abbott also collects, manages and processes protected personal data, including protected health information, in connection with certain medical products and service offerings. Abbott is subject to numerous data privacy and data protection laws and regulations globally, including data protection laws that prohibit or restrict the transfer of protected data across country borders. For additional information concerning data privacy and security regulation, see the discussion in “Regulation” under Item 1, “Business.” A breach or unauthorized disclosure of protected personal information could result in adverse consequences, including regulatory inquiries or litigation, increased costs and expenses, reputational damage, lost revenue, and fines or penalties.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Abbott invests in its information systems and technology and in the protection of its products and data to reduce the risk of a cybersecurity incident or other significant disruption, and monitors its information systems on an ongoing basis for any current or potential cybersecurity threats or vulnerabilities as well as for changes in technology and the regulatory environment. There can be no assurance that these measures and efforts will prevent future cybersecurity incidents or other significant disruptions to any of the information systems on which Abbott relies or that related product issues will not arise in the future. Similarly, there can be no assurance that third-party information technology providers or other partners with whom Abbott contracts will not suffer a significant cybersecurity incident or disruption that impacts Abbott. Any significant cybersecurity incident or other disruption affecting Abbott’s information systems or products could have a material adverse effect on Abbott’s business, financial condition and results of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Abbott’s research and development efforts to develop commercially successful products and technologies and its efforts to develop and maintain new business and operating models necessary to support data-driven healthcare solutions may not succeed, either of which may cause Abbott’s revenue and profitability to decline.</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remain competitive, Abbott must continue to launch new products and technologies. To accomplish this, Abbott commits substantial efforts, funds, and other resources to research and development. A risk of failure is inherent in the research and development of new products and technologies. Abbott must make ongoing substantial expenditures without any assurance that its efforts will be commercially successful. Failure can occur at any point in the process, including after significant funds have been invested.</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Promising new products and technologies may fail to reach the market or may only have limited commercial success because of efficacy or safety concerns, failure to achieve positive clinical outcomes, inability to obtain necessary regulatory approvals, limited scope of approved uses, excessive costs to manufacture, failure to establish or maintain intellectual property rights, or infringement of the intellectual property rights of others. Even if Abbott successfully develops new products or enhancements or new generations of Abbott’s existing products, they may be quickly rendered obsolete by changing customer preferences, changing industry or regulatory standards, or competitors’ innovations. Innovations may not be accepted quickly in the marketplace because of, among other things, entrenched patterns of clinical practice or uncertainty over third-party reimbursement. Abbott cannot state with certainty when or whether any of its products under development will be launched, whether it will be able to develop, license, or otherwise acquire compounds or products, or whether any products will be commercially successful. Failure to launch successful new products or technologies, or new indications or uses for existing products, may cause Abbott’s products or technologies to become obsolete, causing Abbott’s revenues and operating results to suffer.</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Abbott is developing new business and operating models necessary to support the creation of data-driven healthcare solutions such as data-centric prevention and treatment strategies, new products and technologies that incorporate data insights, and product technology strategies that focus on connectivity and data collection and management. Even if Abbott successfully develops such new data-driven healthcare solutions, they may be rendered obsolete by competitors' innovations, the nature of the data and insights generated, or changing customer preferences. Failure to develop and maintain business and operating models necessary to support data-driven healthcare solutions may negatively impact the demand for Abbott products and technologies, causing Abbott's revenues and profitability to decline.</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many of Abbott's products is a highly exacting and complex process, and if Abbott or one of its suppliers or manufacturers encounters problems manufacturing products, Abbott’s business could suffer.</w:t>
      </w:r>
    </w:p>
    <w:p>
      <w:pPr>
        <w:spacing w:after="0" w:line="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manufacture of many of Abbott’s products is a highly exacting and complex process, due in part to strict regulatory requirements. Problems may arise during manufacturing for a variety of reasons, including equipment malfunction, failure to follow specific protocols and procedures, problems with raw materials or the global supply chain, failure to meet product specifications, cybersecurity incidents, natural disasters, and environmental factors. In addition, third-party manufacturers and single suppliers are currently used for certain products and materials. If problems arise during the production of a lot or batch of product, those products may have to be discarded. If problems are not discovered before the product is released to the market, recall and product liability costs may also be incurred. Any of these events could, among other things, lead to increased costs, lost revenue, damage to customer relations, reputational damage, time and expense spent investigating the cause and remediating the problem, if any, a production stoppage at a manufacturing facility, and depending on the cause, similar losses with respect to other lots, batches or products. To the extent that Abbott or one of its suppliers or manufacturers experiences significant manufacturing problems, this could have a material adverse effect on Abbott’s revenues and profitability.</w:t>
      </w:r>
    </w:p>
    <w:p>
      <w:pPr>
        <w:spacing w:after="0" w:line="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Abbott will incur additional indebtedness in connection with the Exact Sciences acquisition, which could adversely affect its business, including decreasing its business flexibility.</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Abbott's consolidated indebtedness was approximately $12.9 billion. Abbott plans to fund the Exact Sciences acquisition with approximately $20 billion of borrowings. This increase in Abbott's consolidated indebtedness could have the effect, among other things, of reducing Abbott's flexibility to respond to changing business and economic conditions.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Abbott may be required to raise additional financing for working capital, capital expenditures, future acquisitions or other general corporate purposes. Abbott's ability to arrange additional financing or refinancing will depend on, among other factors, Abbott's financial position and performance, as well as prevailing market conditions and other factors beyond Abbott's control. Consequently, Abbott cannot assure that it will be able to obtain additional financing or refinancing on terms acceptable to Abbott or at all, which could adversely impact Abbott's ability to make scheduled payments with respect to its consolidated indebtedness and its profitability and financial condition.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further borrowing could cause a deterioration of Abbott's credit ratings. Abbott's credit ratings reflect each credit rating agency's then opinion of Abbott's financial strength, operating performance, and ability to meet its debt obligations. Adverse changes in Abbott's credit ratings may result in increased borrowing costs for future long-term debt or short-term borrowing facilities and may limit financing options, including access to the unsecured borrowing market. Abbott may also be subject to additional restrictive covenants that would reduce flexibility.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costly for Abbott to comply with numerous governmental regulations and to develop compliant products and processes, and consequences for non-compliance could have a material adverse effect on Abbott's revenues, profitability, cash flows, and financial condition.</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Abbott’s products are subject to rigorous regulation by the FDA and numerous international, supranational, federal, and state authorities. The process of obtaining regulatory approvals to market a drug, medical device, diagnostic product, or nutritional product can be costly and time-consuming, and approvals might not be granted for future products, or additional indications or uses of existing products, on a timely basis, if at all. Delays in the receipt of, or failure to obtain, approvals for future products, or new indications and uses, could result in delayed realization of product revenues, reduction in revenues, and substantial additional costs.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no assurance can be given that Abbott will remain in compliance with applicable FDA and other regulatory requirements once approval, clearance, or marketing authorization has been obtained for a product. These requirements include, among other things, regulations regarding manufacturing practices, testing requirements, product labeling, post-market changes to products, advertising, and post-marketing reporting, including adverse event reports and field alerts. Many of Abbott’s facilities and procedures and those of Abbott’s suppliers are subject to ongoing regulation, including periodic inspection by the FDA and other regulatory authorities. Abbott must incur expense and spend time and effort to ensure compliance with these complex regulations. Possible regulatory actions for non-compliance include warning letters, fines, damages, injunctions, civil penalties, recalls, consent decrees, seizures of Abbott’s products, and civil litigation and/or criminal prosecution.</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actions could result in, among other things, substantial modifications to Abbott’s business practices and operations; refunds, recalls, or seizures of Abbott’s products; a total or partial shutdown of production in one or more facilities while Abbott or Abbott’s suppliers remedy any actual or potential issues; the inability to obtain future product approvals, clearances, or marketing authorizations; and withdrawals or suspensions of current products from the market. Any of these events could disrupt Abbott’s business and have a material adverse effect on Abbott’s revenues, profitability, cash flows, and financial condition. For example, in February 2022, Abbott initiated a voluntary recall of certain powder infant formula products manufactured at its facility in Sturgis, Michigan at which time it temporarily stopped manufacturing at the facility. In May 2022, Abbott entered into a consent decree with the FDA.</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affecting government benefit programs could impose new obligations on Abbott, require Abbott to change its business practices, and restrict its operations, which could result in a material adverse effect on Abbott's revenues, profitability, and financial condition.</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Abbott’s industry is subject to various international, supranational, federal, and state laws and regulations pertaining to government benefit program reimbursement, price reporting and regulation, and healthcare fraud and abuse, including anti-kickback and false claims laws, and international and individual state laws relating to pricing and sales and marketing practices. Violations of these laws may be punishable by criminal and/or civil sanctions, including, in some instances, substantial fines, imprisonment, and exclusion from participation in government healthcare programs, including Medicare, Medicaid, and Veterans Administration health programs in the U.S. These laws and regulations are broad in scope and they are subject to evolving interpretations, which could require Abbott to incur substantial costs associated with compliance or to alter one or more of its sales or marketing practices. In addition, violations of these laws, or allegations of such violations, could disrupt Abbott’s business and result in a material adverse effect on Abbott’s revenues, profitability, and financial condition.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healthcare regulatory environment may adversely impact the demand for and price of Abbott’s products.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Both in the U.S. and internationally, government authorities may enact changes in regulatory requirements, make legislative or administrative reforms to existing reimbursement programs, make adverse decisions relating to Abbott’s products’ coverage or reimbursement, or make changes to patient access to healthcare, all of which could adversely impact the demand for and usage of Abbott’s products or the prices that Abbott’s customers are willing to pay for them.</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in the U.S., a number of the provisions of the Affordable Care Act and the Health Care and Education Reconciliation Act of 2010 address access to healthcare products and services. These provisions have been and may continue to be modified, expanded, repealed, or otherwise invalidated, in whole or in part. Future rulemaking could affect rebates, prices or the rate of price increases for healthcare products and services, or required reporting and disclosure. Abbott cannot predict the timing or impact of any future rulemaking or changes in the law.</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concerning healthcare regulation, see the discussion in “Regulation” under Item 1,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expiration or loss of intellectual property protection and licenses may affect Abbott’s future revenues and operating earnings.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Abbott’s businesses rely on patent and trademark and other intellectual property protection. Although most of the challenges to Abbott’s intellectual property have come from other companies, governments may also challenge or diminish intellectual property protections. To the extent Abbott’s intellectual property is successfully challenged, invalidated, or circumvented or to the extent it does not allow Abbott to compete effectively, Abbott’s businesses could suffer. To the extent that countries do not enforce Abbott’s intellectual property rights, Abbott’s future revenues and operating earnings could be reduced.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safety concerns could arise for Abbott’s products, which could have a material adverse effect on Abbott’s revenues and financial condition.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Healthcare products typically receive regulatory approval based on data obtained in controlled clinical trials of limited duration. Following regulatory approval, these products will be used over longer periods of time in many patients. Investigators may also conduct additional, and perhaps more extensive, studies. When new safety concerns are reported, Abbott may be required to amend the conditions of use for a product. For example, Abbott may be required to provide additional warnings on a product’s label or narrow its approved intended use, either of which could reduce the product’s market acceptance. If serious safety concerns arise with an Abbott product, sales of the product have been and could be halted by Abbott or by regulatory authorities. Safety concerns affecting suppliers’ or competitors’ products also may reduce the market acceptance of Abbott’s products.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business, Abbott is the subject of product liability claims and lawsuits alleging that its products or the products of other companies that Abbott promotes have resulted or could result in an unsafe condition for, or injury to, patients. Product liability claims and lawsuits, safety alerts or product recalls, and other allegations of product safety or quality issues, regardless of their validity or ultimate outcome, may have a material adverse effect on Abbott’s business and reputation and on Abbott’s ability to attract and retain customers. Consequences may also include additional costs, a decrease in market share for the products, lower income or exposure to other claims. Product liability losses are self-insured and could have a material adverse effect on Abbott’s profitability, cash flows, and financial condition.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Geopolitical and Industry Risks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geopolitical and macroeconomic conditions could negatively affect Abbott’s business, financial condition, and results of operations</w:t>
      </w:r>
      <w:r>
        <w:rPr>
          <w:rFonts w:ascii="Times New Roman" w:cs="Times New Roman" w:eastAsia="Times New Roman" w:hAnsi="Times New Roman"/>
          <w:sz w:val="21"/>
          <w:szCs w:val="21"/>
          <w:b w:val="1"/>
          <w:bCs w:val="1"/>
          <w:i w:val="1"/>
          <w:iCs w:val="1"/>
          <w:color w:val="auto"/>
        </w:rPr>
        <w:t>.</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global healthcare company with sales outside of the U.S. making up approximately 61 percent of Abbott’s net sales in 2025, Abbott’s business is subject to geopolitical and macroeconomic risks that are beyond its control. These risks include the enactment of trade protection measures such as tariffs, import or export licensing requirements, other governmental restrictions such as trade sanctions, and changes to international trade agreements; government actions such as price controls, limitations on participation in local enterprises, expropriation, and nationalization; restrictions on local currency conversion and/or cash extraction; changes in inflation (including the cost of raw materials, labor, commodities, and supplies) and interest rates; and fluctuations in foreign currency exchange rates. Abbott is also subject to other geopolitical risks, such as war, political and geopolitical instability, terrorist attacks and related military action.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the global economy has been impacted by geopolitical tensions focused on trade, which has increased uncertainty for global businesses such as Abbott. The U.S. government has imposed tariffs on imports into the U.S., and it may impose additional tariffs in the future. Some countries may retaliate with trade protection measures, including reciprocal tariffs. These tariffs or other trade protection measures could have a negative impact on macroeconomic conditions, including inflation rates, foreign currency exchange rates, and interest rates, as well as causing potential disruptions to Abbott’s global supply chain, which could adversely affect its business. Additionally, the ongoing Russia-Ukraine conflict has resulted in sanctions, economic and currency volatility, higher inflation, heightened cybersecurity risks, and operational and supply chain disruptions. To date, Abbott has been able to manage these disruptions without material impact to its results of operations. However, it is difficult to predict the future implications and consequences of the conflict on local, regional, or global economies and Abbott’s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Abbott is subject to cost containment efforts that could cause a reduction in future revenues and operating earnings.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United States and other countries, Abbott’s businesses have experienced downward pressure on certain product pricing. Cost containment efforts by governments and private organizations are described in greater detail in the section captioned “Regulation.” To the extent these cost containment efforts are not offset by greater patient access to healthcare or other factors, Abbott’s future revenues and operating earnings will be reduced.</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Competitors’ intellectual property may prevent Abbott from selling its products or have a material adverse effect on Abbott’s future profitability and financial condition.</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Abbott is the subject of patent litigation, such as competitor claims that an Abbott product infringes their intellectual property. Resolving an intellectual property infringement claim can be costly and time consuming and may require Abbott to enter into license agreements. Abbott cannot guarantee that it would be able to obtain license agreements on commercially reasonable terms. A successful claim of patent or other intellectual property infringement could subject Abbott to significant damages or an injunction preventing the manufacture, sale or use of affected Abbott products. Any of these events could have a material adverse effect on Abbott’s profitability and financial condition.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products and technological advances by Abbott’s competitors may negatively affect Abbott’s results of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Abbott’s products face intense competition from competitors' products and technological advances. Competitors’ products may be safer, more effective, more effectively marketed or sold, or have lower prices or superior performance features than Abbott’s products. Further, the development of new technologies, including disruptive technologies such as artificial intelligence, healthcare products and medicines, and the development of new treatments for disease could significantly change the competitive landscape of the healthcare industry and negatively impact the demand for certain Abbott products. Abbott cannot predict with certainty the timing or impact of the introduction of competitors’ products and technological advances on Abbott's results of operations.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 in foreign currency exchange rates has adversely affected and may continue to adversely affect Abbott’s financial statements and its ability to realize projected sales and earnings.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Abbott’s financial statements are denominated in U.S. dollars, a significant portion of Abbott’s revenues and costs are realized in other currencies. Sales outside of the U.S. in 2025 made up approximately 61 percent of Abbott’s net sales. Abbott’s profitability is affected by movement of the U.S. dollar against other currencies. Fluctuations in exchange rates between the U.S. dollar and other currencies may also affect the reported value of Abbott’s assets and liabilities, as well as its cash flows. Some foreign currencies are subject to government exchange controls. While Abbott enters into hedging arrangements to mitigate some of its foreign currency exposure, Abbott cannot predict with certainty changes in foreign currency exchange rates or its ability to mitigate these risks.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on the impact of foreign exchange rates on Abbott’s financial results is contained in the “Financial Review — Results of Operations” section in Item 7, Management’s Discussion and Analysis of Financial Condition and Results of Operations, of this report. A discussion of the steps taken to mitigate the impact of foreign exchange is contained in Item 7A, Quantitative and Qualitative Disclosures about Market Risk, of this report. Information on Abbott’s hedging arrangements is contained in Note 12 to the consolidated financial statements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changes in tax laws, regulations or interpretations, both in the U.S. and internationally, could have a material adverse effect on Abbott’s effective tax rate, financial condition and results of operations.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Abbott is a large, global corporation and is subject to complex and evolving tax rules, both in the U.S. and internationally. Changes in tax laws, regulations or interpretations, such as the two-pillared plan proposed by the Organization for Economic Cooperation &amp; Development (OECD), or adverse decisions regarding Abbott's tax positions could materially adversely affect Abbott’s effective tax rate, financial condition and results of operations. A discussion on the OECD proposals and their potential impact on Abbott’s business in the future is contained in the “Financial Review” section in Item 7, Management’s Discussion and Analysis of Financial Condition and Results of Operations, of this report. Abbott is unable to predict what changes to the tax laws of the U.S. or other jurisdictions may be proposed or enacted in the future or what impact such changes would have on its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Deterioration in the economic condition and credit quality of certain countries may negatively affect Abbott’s results of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Unfavorable economic conditions in certain countries may increase the time it takes to collect outstanding trade receivables or inhibit Abbott's ability to best utilize its cash. Financial instability and fiscal deficits in these countries may result in additional austerity measures to reduce costs, including healthcare. Deterioration in the quality of sovereign debt, including credit downgrades, could increase Abbott’s collection risk where a significant amount of Abbott’s receivables in these countries are with governmental healthcare systems or where Abbott’s customers depend on payment by government healthcare systems.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factors can have a material adverse effect on Abbott’s future profitability and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Many other factors can affect Abbott’s profitability and its financial condition, including:</w:t>
      </w:r>
    </w:p>
    <w:p>
      <w:pPr>
        <w:spacing w:after="0" w:line="117"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interpretations of laws and regulations, including changes in accounting standards, taxation requirements, product approval standards, product labeling standards, manufacturing standards, source and use laws, and environmental laws;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fair value measurement of assets and liabilities and their actual value, particularly for pensions, retiree healthcare, stock compensation, intangible assets, goodwill, and contingent consideration; and for contingent liabilities such as litigation, the absence of a recorded amount, or an amount recorded at the minimum, compared to the actual amount;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value of Abbott’s equity investments, and the performance of investments held by Abbott or Abbott’s employee benefit trusts;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creditworthiness of counterparties that transact business with or provide services to Abbott or Abbott’s employee benefit trusts;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challenges of doing business internationally, including differing local product preferences and product requirements, difficulty in establishing, staffing, and managing operations, and differing labor regulations;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and public health-related events, including global climate change, extreme weather and natural disasters, public health crises such as widespread outbreaks of infectious diseases, and the cost and availability of insurance due to any of the foregoing events;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strikes, slow-downs, or other forms of labor or union activity, and pressure from third-party interest groups;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Abbott’s business units and investments and changes in the relative and absolute contribution of each to earnings and cash flow resulting from evolving business strategies, and changing product mix;</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buying patterns of a major distributor, retailer, wholesaler, or other customer resulting from buyer purchasing decisions, pricing, seasonality, or other factors, or other problems with licensors, suppliers, distributors, and business partners;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challenges, any of which could preclude or delay commercialization of products or adversely affect profitability, including claims asserting statutory or regulatory violations, and adverse litigation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Form 10-K contains forward-looking statements that are based on management’s current expectations, estimates, and projections. Words such as “expects,” “anticipates,” “intends,” “plans,” “believes,” “seeks,” “estimates,” “forecasts,” “could,” “may,” variations of these words, and similar expressions are intended to identify these forward-looking statements. Certain factors, including but not limited to those identified under “Item 1A. Risk Factors” of this Form 10-K, may cause actual results to differ materially from current expectations, estimates, projections, forecasts, and from past results. No assurance can be made that any expectation, estimate, or projection contained in a forward-looking statement will be achieved or will not be affected by the factors cited above or other unknown or future events. Abbott undertakes no obligation to release publicly any revisions to forward-looking statements as the result of subsequent events or developments, except as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7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Abbott’s cybersecurity risk management process is designed to identify and assess internal and external cybersecurity threats and vulnerabilities to and within Abbott’s business and operations, and analyze and prioritize risks from cybersecurity threats to inform strategies and action plans aimed at mitigating and managing these risks.</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Abbott’s cybersecurity program utilizes a variety of technical and process controls that are designed to identify, protect against, detect, respond to, and recover from cybersecurity threats, including:</w:t>
      </w:r>
    </w:p>
    <w:p>
      <w:pPr>
        <w:spacing w:after="0" w:line="54" w:lineRule="exact"/>
        <w:rPr>
          <w:sz w:val="20"/>
          <w:szCs w:val="20"/>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dedicated cybersecurity professionals who are responsible for analyzing cybersecurity threats, defining cybersecurity policy and requirements, implementing protections, and monitoring and responding to cybersecurity incidents;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cybersecurity awareness training for relevant employees and contractors on Abbott policies and emerging cybersecurity threats, including phishing awareness training;</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and third-party cybersecurity testing, including penetration testing of Abbott’s information systems and hardware;</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assessments for Abbott’s systems and applications;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monitoring and response processes intended to identify, assess, escalate, investigate, contain, and remediate incidents;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disaster recovery plans.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risks from cybersecurity threats are integrated into Abbott’s enterprise risk management (ERM) program. The ERM program establishes a risk management framework that seeks to identify and assess risks that could materially impact Abbott’s business and operations.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Abbott’s cybersecurity program, Abbott regularly engages with assessors and third-party advisers to perform various services, including assessments of process design and operating effectiveness; security testing and attestation; periodic assessment of enterprise cybersecurity maturity; industry benchmarking; and thought leadership related to continuous improvement of processes, training, technology, and data.</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Abbott’s cybersecurity program also aims to identify and assess cybersecurity risks associated with its use of third-party service providers with access to Abbott’s systems and data, as well as such third-party service providers’ adherence to certain cybersecurity standards and processes. As appropriate, Abbott requires such third-party service providers to agree to be subject to cybersecurity evaluations by Abbott.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 discussion of how Abbott’s business, results of operations, and financial condition could be materially adversely affected by risks from cybersecurity threats is contained in Item 1A. Risk Factors under </w:t>
      </w:r>
      <w:r>
        <w:rPr>
          <w:rFonts w:ascii="Times New Roman" w:cs="Times New Roman" w:eastAsia="Times New Roman" w:hAnsi="Times New Roman"/>
          <w:sz w:val="18"/>
          <w:szCs w:val="18"/>
          <w:i w:val="1"/>
          <w:iCs w:val="1"/>
          <w:color w:val="auto"/>
        </w:rPr>
        <w:t>“Abbott depends on sophisticated information systems and maintains protected personal data, and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cybersecurity incident or other disruption affecting these information systems or protected personal data could have a material adverse effect on Abbott’s business, financial condition and results of operations."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has risk oversight responsibility for Abbott, which it administers directly and with assistance from its Committees. Throughout the year, the Board and its Committees engage with management to discuss a wide range of enterprise risks.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assists the Board of Directors in fulfilling its oversight responsibilities with respect to ERM, including risks from cybersecurity threats, and the steps management has taken to monitor and mitigate those risks. The Audit Committee receives reports semiannually from Abbott’s Chief Information Officer (CIO) and Chief Information Security Officer (CISO) on Abbott’s cybersecurity strategy and program. In addition, the Audit Committee conducts an annual review of the ERM process, including the program structure, risk assessment, and risk mitigation.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Public Policy Committee assists the Board of Directors in fulfilling its oversight responsibility with respect to product cybersecurity, and receives reports at least annually on this topic from the CIO and CISO.</w:t>
      </w:r>
    </w:p>
    <w:p>
      <w:pPr>
        <w:spacing w:after="0" w:line="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CISO leads Abbott’s cybersecurity strategy and program and its cybersecurity and privacy incident response team that is responsible for monitoring the detection of cybersecurity incidents and executing Abbott’s cybersecurity incident response process, as needed. Pursuant to the process, the team is responsible for the investigation and resolution of cybersecurity incidents, including reporting to an Abbott senior management-level committee on detection, mitigation, and remediation of significant cybersecurity incidents. The CISO reports to the CIO, who has overall responsibility for the cybersecurity program and organization.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Abbott has two cross-functional senior management-level committees that assess Abbott’s material risks from cybersecurity threats – one that oversees Abbott’s cybersecurity program and another that oversees the cybersecurity incident response process.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CISO has extensive technology work experience, having served in various roles in risk management, including information security audit and assessments, developing cybersecurity strategy/programs for enterprise and product security, and cybersecurity operations focused on identification, mitigation and response to cybersecurity threats. The CISO has also held leadership positions in several health sector industry organizations developing cybersecurity standards and best practices.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CIO has extensive technology work experience at S&amp;P 100 companies overseeing and executing technology strategies in complex, global, highly matrixed environments. The CIO provides executive leadership on technology strategy, policy, and capabilities across the Abbott enterprise.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2025, Abbott owned or leased properties totaling approximately 44 million square feet, of which approximately 65% is owned by Abbott. Abbott’s principal corporate offices are located in Illinois and are owned by Abbott.</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Abbott operates 89 manufacturing facilities globally. Abbott’s facilities are deemed suitable and provide adequate productive capacity. The manufacturing facilities are used by Abbott’s reportable segments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Manufacturing</w:t>
            </w:r>
          </w:p>
        </w:tc>
      </w:tr>
      <w:tr>
        <w:trPr>
          <w:trHeight w:val="204"/>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Reportable Segments</w:t>
            </w: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Sites</w:t>
            </w:r>
          </w:p>
        </w:tc>
      </w:tr>
      <w:tr>
        <w:trPr>
          <w:trHeight w:val="23"/>
        </w:trPr>
        <w:tc>
          <w:tcPr>
            <w:tcW w:w="9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Devices</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Diagnostic Products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Established Pharmaceutical Products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9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Nutritional Products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 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Abbott’s research and development facilities in the United States are primarily located in California, Illinois, Minnesota, New Jersey, and Ohio. Abbott also has research and development facilities in various other countries, including Colombia, India, Singapore, Spain, and the United Kingdom.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encumbrances on the properties.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Abbott is involved in various claims, legal proceedings, and investigations, including (as of January 31, 2026) those described below. While it is not feasible to predict the outcome of such pending claims, proceedings, and investigations with certainty, management is of the opinion that their ultimate resolution should not have a material adverse effect on Abbott’s financial position, cash flows, or results of operations.</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Abbott is a defendant in numerous lawsuits involving certain of its specialty infant formula products administered to preterm infants. The lawsuits allege that preterm infants developed necrotizing enterocolitis as a result of being administered a cow’s milk-based preterm infant formula product, which resulted in personal injuries or death. As of January 31, 2026, there were 1,760 lawsuits pending in federal and state courts in which Abbott is a party. The plaintiffs seek various damages, including punitive damages. In April 2022, the U.S. Judicial Panel on Multidistrict Litigation ordered all federal court cases consolidated for pretrial purposes in the U.S. District Court for the Northern District of Illinois. In May 2025, the U.S. District Court for the Northern District of Illinois granted summary judgment in favor of Abbott on all claims in the first "bellwether" case and entered judgment for Abbott. The plaintiff has filed an appeal. The U.S. District Court for the Northern District of Illinois granted summary judgment in favor of Abbott in each of the second and third "bellwether" cases in August and October 2025, respectively. In addition, in December 2021, a purported class of Canadian preterm infants filed suit in British Columbia that makes similar allegations as those made in the United States against Abbott. These plaintiffs seek various damages. Many of the lawsuits name another infant formula manufacturer as a co-defendant. In a trial held in July 2024, a jury in a Missouri state court awarded a plaintiff $495 million in damages. Abbott stands by its products and the information it provided about them, and it appealed this jury’s verdict to the Missouri Court of Appeals in December 2024. In a trial held in October 2024 involving Abbott and another infant formula manufacturer and the treating hospital as co-defendants, a jury in a Missouri state court returned a unanimous verdict for Abbott and its co-defendants. In December 2024, the plaintiff filed a motion for a new trial. In March 2025, the Missouri state court granted the plaintiff's motion for a new trial, and Abbott appealed the ruling to the Missouri Court of Appeals.</w:t>
      </w:r>
    </w:p>
    <w:p>
      <w:pPr>
        <w:spacing w:after="0" w:line="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November 2022, Abbott learned that the United States Department of Justice (DOJ), through the United States Attorney’s Office for the Western District of Michigan, is conducting a criminal investigation related to Abbott’s manufacturing of powdered infant formula. In January 2023, Abbott received a civil investigative demand from the United States Federal Trade Commission seeking information in connection with its investigation of companies who participate in bids for WIC infant formula contracts. In addition, multiple civil lawsuits have been filed against Abbott relating to Abbott’s manufacturing of certain powdered infant formula products. Six shareholder derivative lawsuits against certain of Abbott’s current and former directors and officers are pending in a consolidated proceeding, </w:t>
      </w:r>
      <w:r>
        <w:rPr>
          <w:rFonts w:ascii="Times New Roman" w:cs="Times New Roman" w:eastAsia="Times New Roman" w:hAnsi="Times New Roman"/>
          <w:sz w:val="18"/>
          <w:szCs w:val="18"/>
          <w:i w:val="1"/>
          <w:iCs w:val="1"/>
          <w:color w:val="auto"/>
        </w:rPr>
        <w:t>In re Abbott Laboratories Infant Formula Shareholder Derivative Litigation</w:t>
      </w:r>
      <w:r>
        <w:rPr>
          <w:rFonts w:ascii="Times New Roman" w:cs="Times New Roman" w:eastAsia="Times New Roman" w:hAnsi="Times New Roman"/>
          <w:sz w:val="18"/>
          <w:szCs w:val="18"/>
          <w:color w:val="auto"/>
        </w:rPr>
        <w:t xml:space="preserve">, in the U.S. District Court for the Northern District of Illinois. The consolidated lawsuit seeks monetary damages from the defendants to Abbott. </w:t>
      </w:r>
      <w:r>
        <w:rPr>
          <w:rFonts w:ascii="Times New Roman" w:cs="Times New Roman" w:eastAsia="Times New Roman" w:hAnsi="Times New Roman"/>
          <w:sz w:val="18"/>
          <w:szCs w:val="18"/>
          <w:i w:val="1"/>
          <w:iCs w:val="1"/>
          <w:color w:val="auto"/>
        </w:rPr>
        <w:t>In re Abbott Laboratories Infant Formula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Shareholder Derivative Litigation </w:t>
      </w:r>
      <w:r>
        <w:rPr>
          <w:rFonts w:ascii="Times New Roman" w:cs="Times New Roman" w:eastAsia="Times New Roman" w:hAnsi="Times New Roman"/>
          <w:sz w:val="18"/>
          <w:szCs w:val="18"/>
          <w:color w:val="auto"/>
        </w:rPr>
        <w:t>includes:</w:t>
      </w:r>
      <w:r>
        <w:rPr>
          <w:rFonts w:ascii="Times New Roman" w:cs="Times New Roman" w:eastAsia="Times New Roman" w:hAnsi="Times New Roman"/>
          <w:sz w:val="18"/>
          <w:szCs w:val="18"/>
          <w:i w:val="1"/>
          <w:iCs w:val="1"/>
          <w:color w:val="auto"/>
        </w:rPr>
        <w:t xml:space="preserve"> Thomas P. DiNapoli, Controller of the State of New York, as Administrative Head of the New York State and Local Retirement System, and as Trustee of the New York State Common Retirement Fund,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International Brotherhood of Teamsters Local No. 710 Pension Fund and Southeastern Pennsylvania Transportation Authority, </w:t>
      </w:r>
      <w:r>
        <w:rPr>
          <w:rFonts w:ascii="Times New Roman" w:cs="Times New Roman" w:eastAsia="Times New Roman" w:hAnsi="Times New Roman"/>
          <w:sz w:val="18"/>
          <w:szCs w:val="18"/>
          <w:color w:val="auto"/>
        </w:rPr>
        <w:t>both filed in June 2023;</w:t>
      </w:r>
      <w:r>
        <w:rPr>
          <w:rFonts w:ascii="Times New Roman" w:cs="Times New Roman" w:eastAsia="Times New Roman" w:hAnsi="Times New Roman"/>
          <w:sz w:val="18"/>
          <w:szCs w:val="18"/>
          <w:i w:val="1"/>
          <w:iCs w:val="1"/>
          <w:color w:val="auto"/>
        </w:rPr>
        <w:t xml:space="preserve"> David Hamilton </w:t>
      </w:r>
      <w:r>
        <w:rPr>
          <w:rFonts w:ascii="Times New Roman" w:cs="Times New Roman" w:eastAsia="Times New Roman" w:hAnsi="Times New Roman"/>
          <w:sz w:val="18"/>
          <w:szCs w:val="18"/>
          <w:color w:val="auto"/>
        </w:rPr>
        <w:t>filed in April 2023;</w:t>
      </w:r>
      <w:r>
        <w:rPr>
          <w:rFonts w:ascii="Times New Roman" w:cs="Times New Roman" w:eastAsia="Times New Roman" w:hAnsi="Times New Roman"/>
          <w:sz w:val="18"/>
          <w:szCs w:val="18"/>
          <w:i w:val="1"/>
          <w:iCs w:val="1"/>
          <w:color w:val="auto"/>
        </w:rPr>
        <w:t xml:space="preserve"> Matthew Steele </w:t>
      </w:r>
      <w:r>
        <w:rPr>
          <w:rFonts w:ascii="Times New Roman" w:cs="Times New Roman" w:eastAsia="Times New Roman" w:hAnsi="Times New Roman"/>
          <w:sz w:val="18"/>
          <w:szCs w:val="18"/>
          <w:color w:val="auto"/>
        </w:rPr>
        <w:t>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February 2023; </w:t>
      </w:r>
      <w:r>
        <w:rPr>
          <w:rFonts w:ascii="Times New Roman" w:cs="Times New Roman" w:eastAsia="Times New Roman" w:hAnsi="Times New Roman"/>
          <w:sz w:val="18"/>
          <w:szCs w:val="18"/>
          <w:i w:val="1"/>
          <w:iCs w:val="1"/>
          <w:color w:val="auto"/>
        </w:rPr>
        <w:t>Ilene Lippman</w:t>
      </w:r>
      <w:r>
        <w:rPr>
          <w:rFonts w:ascii="Times New Roman" w:cs="Times New Roman" w:eastAsia="Times New Roman" w:hAnsi="Times New Roman"/>
          <w:sz w:val="18"/>
          <w:szCs w:val="18"/>
          <w:color w:val="auto"/>
        </w:rPr>
        <w:t xml:space="preserve"> filed in January 2023; and </w:t>
      </w:r>
      <w:r>
        <w:rPr>
          <w:rFonts w:ascii="Times New Roman" w:cs="Times New Roman" w:eastAsia="Times New Roman" w:hAnsi="Times New Roman"/>
          <w:sz w:val="18"/>
          <w:szCs w:val="18"/>
          <w:i w:val="1"/>
          <w:iCs w:val="1"/>
          <w:color w:val="auto"/>
        </w:rPr>
        <w:t>Leon Martin</w:t>
      </w:r>
      <w:r>
        <w:rPr>
          <w:rFonts w:ascii="Times New Roman" w:cs="Times New Roman" w:eastAsia="Times New Roman" w:hAnsi="Times New Roman"/>
          <w:sz w:val="18"/>
          <w:szCs w:val="18"/>
          <w:color w:val="auto"/>
        </w:rPr>
        <w:t xml:space="preserve"> filed in October 2022. In August 2024, the court granted in part and denied in part the defendants’ motion to dismiss, allowing the securities and breach of fiduciary duty claims to move forward. In September 2024, Abbott’s Board of Directors established an independent and disinterested special litigation committee to investigate and evaluate the asserted claims. In November 2024, the special litigation committee filed a motion to stay the case in order to conduct its investigation. In February 2025, the court granted in part and denied in part the committee's motion, allowing written discovery to proceed. In November 2025, the DOJ intervened, in part, in a civil qui tam lawsuit previously filed under seal against Abbott by three private individuals in the U.S. District Court for the Western District of Michigan. The DOJ’s intervention is related to Abbott’s manufacturing of powdered infant formula products at its facility in Sturgis, Michigan. The DOJ alleges certain violations of the Federal False Claims Act and unjust enrichment, and it seeks various damages, including statutory penalties and disgorgement of profits. In December 2025, the Attorneys General of several states filed a consolidated complaint-in-intervention in the same lawsuit alleging violations of certain state laws, including false claims acts, and seeking damages and penalties.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Executive officers of Abbott are elected annually by the Board of Directors. Each executive officer holds office until a successor has been duly elected or appointed and qualified or until the officer’s death, resignation, or removal. Vacancies may be filled at any time by the Board of Directors. Any executive officer may be removed by the Board of Directors when, in its judgment, removal would serve the best interests of Abbott.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Abbott’s executive officers, their ages as of February 20, 2026, and the dates of their first election as officers of Abbott are listed below. The executive officers’ principal occupations and employment for the past five years and the year of appointment to the earliest reported office are also shown. Unless otherwise stated, employment was by Abbott. There are no family relationships between any executive officers or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B. Ford, 52</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2021 to present — Chairman of the Board and Chief Executive Officer, and Director.</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2020 to 2021 — President and Chief Executive Officer, and Director.</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Elected Corporate Officer — 2008.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Philip P. Boudreau, 53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to present — Executive Vice President, Finance and Chief Financial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to 2024 — Senior Vice President, Finance and Chief Financial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to 2023 — Vice President, Finance and Controller.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Elected Corporate Officer — 2020.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Elizabeth C. Cushman, 56</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2025 to present — Executive Vice President, General Counsel and Secretary.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2024 to 2025 — Senior Vice President, Legal.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to 2024 — Vice President, Specialty Legal.</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2021 to 2023 — Divisional Vice President and Associate General Counsel, Legal Regulatory and Compliance.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Elected Corporate Officer —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Lisa D. Earnhardt, 56</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2023 to present — Executive Vice President and Group President, Medical Devices.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2019 to 2023 — Executive Vice President, Medical Devices.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Elected Corporate Officer —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Mary K. Moreland, 59</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2019 to present — Executive Vice President, Human Resources.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Elected Corporate Officer —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Louis H. Morrone, 49</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2023 to present — Executive Vice President, Core Diagnostics.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2021 to 2023 — Senior Vice President, Rapid Diagnostics.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2017 to 2021 — Vice President, Transfusion Medicine.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Elected Corporate Officer — 2017.</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Daniel Salvadori, 47</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2021 to present — Executive Vice President and Group President, Established Pharmaceuticals and Nutritional Products.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2017 to 2021 — Executive Vice President, Nutritional Products.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Elected Corporate Officer — 2014.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Christopher J. Scoggins, 56</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2025 to present — Executive Vice President, Diabetes Care.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2023 to 2024 — Senior Vice President, Commercial Operations and Marketing, Abbott Diabetes Care.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to 2023 — Vice President, Commercial Operations and Marketing, Abbott Diabetes Care.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2019 to 2021 — Senior Vice President, Rapid Diagnostics.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Elected Corporate Officer — 2015.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Eric Shroff, 54</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2025 to present — Senior Vice President, Rapid and Molecular Diagnostics.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2018 to 2025 — Vice President, Abbott Point of Care.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Elected Corporate Officer —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A. McCoy, Jr., 56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to present — Vice President, Finance and Controller.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to 2023 — Vice President, Treasurer.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 to 2021 — Divisional Vice President, Controller, Rapid Diagnostics.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Elected Corporate Officer —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740" w:hanging="728"/>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Market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principal market for Abbott’s common shares is the New York Stock Exchange under the symbol “ABT.” Shares are also listed on NYSE Texas and traded on various regional and electronic exchanges. Outside the United States, Abbott’s shares are listed on the SIX Swiss Exchange.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29,122 shareholders of record of Abbott common shares as of January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Information for Shareholders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Illinois Department of Commerce and Economic Opportunity (DCEO) has designated Abbott as an Illinois High Impact Business (HIB) through June 2043. Dividends paid by a corporation that is designated as a HIB and conducts business in a foreign trade zone may be eligible for a subtraction from base income for Illinois income tax purposes. Abbott certified that the HIB requirements were met for the calendar year ending December 31,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please contact your tax advisor.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gridSpan w:val="3"/>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(d) Maximum Number (or</w:t>
            </w:r>
          </w:p>
        </w:tc>
      </w:tr>
      <w:tr>
        <w:trPr>
          <w:trHeight w:val="175"/>
        </w:trPr>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 Total Number</w:t>
            </w:r>
          </w:p>
        </w:tc>
        <w:tc>
          <w:tcPr>
            <w:tcW w:w="2220" w:type="dxa"/>
            <w:vAlign w:val="bottom"/>
            <w:gridSpan w:val="3"/>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r>
      <w:tr>
        <w:trPr>
          <w:trHeight w:val="162"/>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(a) Total Number</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Shares (or Units)</w:t>
            </w:r>
          </w:p>
        </w:tc>
        <w:tc>
          <w:tcPr>
            <w:tcW w:w="220" w:type="dxa"/>
            <w:vAlign w:val="bottom"/>
          </w:tcPr>
          <w:p>
            <w:pPr>
              <w:spacing w:after="0"/>
              <w:rPr>
                <w:sz w:val="14"/>
                <w:szCs w:val="14"/>
                <w:color w:val="auto"/>
              </w:rPr>
            </w:pPr>
          </w:p>
        </w:tc>
        <w:tc>
          <w:tcPr>
            <w:tcW w:w="2000" w:type="dxa"/>
            <w:vAlign w:val="bottom"/>
            <w:gridSpan w:val="2"/>
          </w:tcPr>
          <w:p>
            <w:pPr>
              <w:jc w:val="center"/>
              <w:ind w:right="510"/>
              <w:spacing w:after="0"/>
              <w:rPr>
                <w:sz w:val="20"/>
                <w:szCs w:val="20"/>
                <w:color w:val="auto"/>
              </w:rPr>
            </w:pPr>
            <w:r>
              <w:rPr>
                <w:rFonts w:ascii="Times New Roman" w:cs="Times New Roman" w:eastAsia="Times New Roman" w:hAnsi="Times New Roman"/>
                <w:sz w:val="14"/>
                <w:szCs w:val="14"/>
                <w:b w:val="1"/>
                <w:bCs w:val="1"/>
                <w:color w:val="auto"/>
              </w:rPr>
              <w:t>of</w:t>
            </w:r>
          </w:p>
        </w:tc>
      </w:tr>
      <w:tr>
        <w:trPr>
          <w:trHeight w:val="175"/>
        </w:trPr>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 Average Price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2220" w:type="dxa"/>
            <w:vAlign w:val="bottom"/>
            <w:gridSpan w:val="3"/>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Shares (or Units) that May</w:t>
            </w:r>
          </w:p>
        </w:tc>
      </w:tr>
      <w:tr>
        <w:trPr>
          <w:trHeight w:val="176"/>
        </w:trPr>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2"/>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(or Units)</w:t>
            </w:r>
          </w:p>
        </w:tc>
        <w:tc>
          <w:tcPr>
            <w:tcW w:w="16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Publicly Announced</w:t>
            </w:r>
          </w:p>
        </w:tc>
        <w:tc>
          <w:tcPr>
            <w:tcW w:w="2220" w:type="dxa"/>
            <w:vAlign w:val="bottom"/>
            <w:gridSpan w:val="3"/>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Yet Be Purchased Under the</w:t>
            </w:r>
          </w:p>
        </w:tc>
      </w:tr>
      <w:tr>
        <w:trPr>
          <w:trHeight w:val="204"/>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80" w:type="dxa"/>
            <w:vAlign w:val="bottom"/>
            <w:gridSpan w:val="2"/>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(or Unit)</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220" w:type="dxa"/>
            <w:vAlign w:val="bottom"/>
          </w:tcPr>
          <w:p>
            <w:pPr>
              <w:spacing w:after="0"/>
              <w:rPr>
                <w:sz w:val="17"/>
                <w:szCs w:val="17"/>
                <w:color w:val="auto"/>
              </w:rPr>
            </w:pPr>
          </w:p>
        </w:tc>
        <w:tc>
          <w:tcPr>
            <w:tcW w:w="2000" w:type="dxa"/>
            <w:vAlign w:val="bottom"/>
            <w:gridSpan w:val="2"/>
          </w:tcPr>
          <w:p>
            <w:pPr>
              <w:jc w:val="center"/>
              <w:ind w:right="510"/>
              <w:spacing w:after="0"/>
              <w:rPr>
                <w:sz w:val="20"/>
                <w:szCs w:val="20"/>
                <w:color w:val="auto"/>
              </w:rPr>
            </w:pPr>
            <w:r>
              <w:rPr>
                <w:rFonts w:ascii="Times New Roman" w:cs="Times New Roman" w:eastAsia="Times New Roman" w:hAnsi="Times New Roman"/>
                <w:sz w:val="14"/>
                <w:szCs w:val="14"/>
                <w:b w:val="1"/>
                <w:bCs w:val="1"/>
                <w:color w:val="auto"/>
              </w:rPr>
              <w:t>Plans or Programs</w:t>
            </w:r>
          </w:p>
        </w:tc>
      </w:tr>
      <w:tr>
        <w:trPr>
          <w:trHeight w:val="23"/>
        </w:trPr>
        <w:tc>
          <w:tcPr>
            <w:tcW w:w="3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2025 — October 31, 2025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2,340,000</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128.682</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6,689,557,187</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2025 — November 30, 2025</w:t>
            </w:r>
          </w:p>
        </w:tc>
        <w:tc>
          <w:tcPr>
            <w:tcW w:w="1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6,689,557,187 (2)</w:t>
            </w:r>
          </w:p>
        </w:tc>
      </w:tr>
      <w:tr>
        <w:trPr>
          <w:trHeight w:val="23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2025 — December 31, 2025</w:t>
            </w:r>
          </w:p>
        </w:tc>
        <w:tc>
          <w:tcPr>
            <w:tcW w:w="18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6,689,557,187 (2)</w:t>
            </w:r>
          </w:p>
        </w:tc>
      </w:tr>
      <w:tr>
        <w:trPr>
          <w:trHeight w:val="234"/>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2,340,000 (1)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128.682</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2,340,000</w:t>
            </w:r>
          </w:p>
        </w:tc>
        <w:tc>
          <w:tcPr>
            <w:tcW w:w="8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6,689,557,187 (2)</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w:t>
      </w:r>
    </w:p>
    <w:p>
      <w:pPr>
        <w:spacing w:after="0" w:line="109" w:lineRule="exact"/>
        <w:rPr>
          <w:sz w:val="20"/>
          <w:szCs w:val="20"/>
          <w:color w:val="auto"/>
        </w:rPr>
      </w:pPr>
    </w:p>
    <w:p>
      <w:pPr>
        <w:ind w:left="340" w:right="20" w:hanging="332"/>
        <w:spacing w:after="0" w:line="282"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do not include the shares surrendered to Abbott to satisfy tax withholding obligations in connection with the vesting of restricted stock or restricted stock units.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11, 2024, the Board of Directors authorized the repurchase of up to $7 billion of Abbott common shares, from time to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Review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Abbott’s revenues are derived primarily from the sale of a broad line of healthcare products, which include medical devices, diagnostic testing products, nutritional products and branded generic pharmaceuticals. These products are sold under short-term receivable arrangements. Patent protection and licenses, technological and performance features, and inclusion of Abbott’s products under a contract most impact which products are sold; price controls, competition, and rebates most impact the net selling prices of products; and the measurement of net sales and costs is impacted by foreign currency translation. Sales in international markets comprise 61 percent of consolidated net sales.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19, 2025, Abbott entered into a definitive agreement to acquire Exact Sciences Corporation (Exact Sciences), which is expected to enable Abbott to enter the cancer diagnostics market. The acquisition is subject to customary closing conditions, including the approval of Exact Sciences shareholders, and obtaining the required regulatory clearances. Under the terms of the agreement, Abbott will pay $105 per common share in cash at the completion of the transaction, representing a total equity value of approximately $21 billion and an estimated enterprise value of $23 billion. Abbott's financing contemplates absorption of Exact Sciences' estimated $1.8 billion of net debt.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19, 2025, Abbott obtained a commitment for a 364-day senior unsecured bridge term loan facility for an amount not to exceed $20.0 billion in conjunction with its pending acquisition of Exact Sciences. While Abbott plans to fund this transaction with cash on hand and borrowings, the bridge facility will provide back-up financing.</w:t>
      </w:r>
    </w:p>
    <w:p>
      <w:pPr>
        <w:spacing w:after="0" w:line="68"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Abbott’s sales growth in 2025 was primarily attributable to the performance of the Medical Devices and Established Pharmaceutical Products segments. Results reflect continued progress across related research and development programs, including the contribution of new and recently introduced products and indication expansions. Results in the Nutritional Products segment were flat, reflecting price increases and lower volumes, particularly in the United States (U.S.). Sales also continued to be affected by the decline in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testing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sales in the Diagnostics segment. In 2025, 2024, and 2023, Abbott’s COVID-19 testing-related sales totaled $297 million, $747 million, and $1.6 billion, respectively. Sales in emerging markets, which represent 37 percent of total company sales, increased 5.1 percent in 2025 and 8.2 percent in 2024, excluding the impact of foreign exchange. (Emerging markets include all countries, except the U.S., Japan, Canada, Australia, New Zealand, the United Kingdom, and Western European countries.)</w:t>
      </w:r>
    </w:p>
    <w:p>
      <w:pPr>
        <w:spacing w:after="0" w:line="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Abbott’s operating margin profile increased in 2025 to 18.2 percent from 16.3 percent in 2024 and 16.2 percent in 2023. The increase in 2025 reflects the favorable impact of margin improvement initiatives, partially offset by foreign exchange and inflation.</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the performance of each reportable segment over the last three years, sales in the Medical Devices segment, excluding the impact of foreign exchange, increased 11.9 percent in 2025 and 13.7 percent in 2024. In Medical Devices, sales in 2025 and 2024 increased across all businesses, with double-digit growth in Diabetes Care, Heart Failure, Electrophysiology, and Structural Heart, and in 2025, Rhythm Management. Growth was led by Diabetes Care where sales of Abbott's continuous glucose monitoring (CGM) systems continued to increase and totaled $7.6 billion in 2025 and $6.4 billion in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key product approvals in the Medical Devices segment included:</w:t>
      </w:r>
    </w:p>
    <w:p>
      <w:pPr>
        <w:spacing w:after="0" w:line="117" w:lineRule="exact"/>
        <w:rPr>
          <w:sz w:val="20"/>
          <w:szCs w:val="20"/>
          <w:color w:val="auto"/>
        </w:rPr>
      </w:pPr>
    </w:p>
    <w:p>
      <w:pPr>
        <w:ind w:left="660" w:hanging="490"/>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Food and Drug Administration (FDA) approval and CE Mark for the Volt™ Pulsed Field Ablation (PFA) System to treat patients with atrial fibrillation,</w:t>
      </w:r>
    </w:p>
    <w:p>
      <w:pPr>
        <w:ind w:left="660" w:hanging="490"/>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approval of the Tendyne™ transcatheter mitral valve replacement (TMVR) system to treat people with mitral valve disease,</w:t>
      </w:r>
    </w:p>
    <w:p>
      <w:pPr>
        <w:spacing w:after="0" w:line="9" w:lineRule="exact"/>
        <w:rPr>
          <w:rFonts w:ascii="Times New Roman" w:cs="Times New Roman" w:eastAsia="Times New Roman" w:hAnsi="Times New Roman"/>
          <w:sz w:val="18"/>
          <w:szCs w:val="18"/>
          <w:color w:val="auto"/>
        </w:rPr>
      </w:pPr>
    </w:p>
    <w:p>
      <w:pPr>
        <w:ind w:left="660" w:right="20" w:hanging="490"/>
        <w:spacing w:after="0" w:line="21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 in Japan for TriClip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minimally invasive treatment option for patients with tricuspid regurgitation, or a leaky tricuspid heart valve,</w:t>
      </w:r>
    </w:p>
    <w:p>
      <w:pPr>
        <w:spacing w:after="0" w:line="1" w:lineRule="exact"/>
        <w:rPr>
          <w:rFonts w:ascii="Times New Roman" w:cs="Times New Roman" w:eastAsia="Times New Roman" w:hAnsi="Times New Roman"/>
          <w:sz w:val="18"/>
          <w:szCs w:val="18"/>
          <w:color w:val="auto"/>
        </w:rPr>
      </w:pPr>
    </w:p>
    <w:p>
      <w:pPr>
        <w:ind w:left="660" w:hanging="490"/>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 Mark for TactiFlex™ Duo Ablation Catheter, Sensor Enabled™, designed to deliver radiofrequency (RF) and PFA energy to treat patients battling atrial fibrillation, and</w:t>
      </w:r>
    </w:p>
    <w:p>
      <w:pPr>
        <w:ind w:left="660" w:hanging="490"/>
        <w:spacing w:after="0" w:line="21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 Mark for an expanded indication for the Navitor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transcatheter aortic valve implantation (TAVI) system to treat people with symptomatic, severe aortic stenosis who are at low or intermediate risk for open-heart surgery.</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earnings for the Medical Devices segment increased 17.2 percent in 2025 and 16.0 percent in 2024. Operating margin profile increased from 31.4 percent in 2023 to 32.4 percent in 2024 and to 33.7 percent in 2025. The increase in 2025 reflects the impact of higher sales volumes across the Medical Devices businesses.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Abbott’s Diagnostics segment, sales decreased 4.5 percent in 2025 and 3.9 percent in 2024, excluding the impact of foreign exchange. The 2025 and 2024 sales decreases were driven by continued lower demand for the company's portfolio of COVID-19 tests and challenging market conditions in China, including the impact of volume-based procurement programs. The sales decrease was partially offset by higher volume of routine diagnostic tests and the continued deployment of Abbott's Alinity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testing platform and digital health solutions, as Abbott continues to expand its diagnostic test menus.</w:t>
      </w:r>
    </w:p>
    <w:p>
      <w:pPr>
        <w:spacing w:after="0" w:line="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2025, operating earnings for the Diagnostics segment decreased 16.1 percent. The operating margin profile decreased from 24.4 percent in 2023 to 19.5 percent in 2025 primarily due to lower demand for Abbott's COVID-19 tests.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Abbott’s Nutritional Products segment, total pediatric nutrition sales, excluding the impact of foreign exchange, decreased 0.7 percent in 2025, reflecting lower sales volumes in the U.S., partially offset by higher international sales and price increases. In 2024, excluding the impact of foreign exchange, total pediatric nutrition sales increased 3.7 percent, which included market share recovery in the U.S. infant formula business following the voluntary recall of certain products in 2022, and the favorable impact of price increases. Excluding the impact of foreign exchange, total adult nutrition sales increased 2.7 percent in 2025 and 8.0 percent in 2024, reflecting growth in international markets and favorable impact of price increases. These increases were partially offset by lower U.S. sales, including the impact from the discontinuation of the ZonePerfect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line in 2024.</w:t>
      </w:r>
    </w:p>
    <w:p>
      <w:pPr>
        <w:spacing w:after="0" w:line="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2025, operating earnings for the Nutritional Products segment increased 3.5 percent compared to 2024. Operating margin profile for this segment increased from 16.4 percent in 2023 to 17.9 percent in 2024 and to 18.4 percent in 2025. The increase in 2025 primarily reflects the favorable effect of margin improvement initiatives and price increases, partially offset by continued inflation in manufacturing and input costs and the impact of foreign exchange. The increase in 2024 primarily reflected higher sales, the favorable impact of price increases, and a continued execution of margin improvement initiatives.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Abbott's Established Pharmaceutical Products segment, excluding the impact of foreign exchange, sales increased 7.4 percent in 2025 and 9.2 percent in 2024. Sales growth in both periods was broad-based across countries and was led by higher revenue across multiple therapeutic areas, including cardiometabolic, gastroenterology, and central nervous system/pain management. In 2024, growth in this segment also reflected higher respiratory product sales. In 2025, operating earnings increased 4.7 percent. Operating margin profile decreased from 23.8 percent in 2023 to 23.3 percent in 2025, reflecting increased business costs and unfavorable foreign exchange, partially offset by higher volumes and favorable price adjustment initiatives.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Abbott’s financial position, as of December 31, 2025, and December 31, 2024, Abbott’s cash and cash equivalents and short-term investments totaled $8.9 billion and $8.0 billion, respectively. Abbott’s long-term debt totaled $12.9 billion and $14.1 billion at December 31, 2025, and 2024, respectively.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Abbott declared dividends of $2.40 per share in 2025 and $2.24 per share in 2024, an increase of 7.1 percent. Dividends paid totaled $4.1 billion in 2025 compared to $3.8 billion in 2024. The year-over-year change in the amount of dividends paid reflects the increase in the dividend rate. In December 2025, Abbott increased the company’s quarterly dividend by 6.8 percent to $0.63 per share from $0.59 per share, effective with the dividend paid in February 2026. In December 2024, Abbott increased the company’s quarterly dividend by 7.3 percent to $0.59 per share from $0.55 per share, effective with the dividend paid in February 2025.</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2026, Abbott will continue to invest in product development areas that provide the opportunity for strong sustainable growth over the next several years. In the diagnostics businesses, Abbott will focus on driving sales growth from its Alinity suite of diagnostic instruments, including expanded menu offerings and GLP track integration, as well as its portfolio of rapid diagnostic testing systems, and growing digital health solutions. In the medical devices businesses, Abbott will focus on growing recently launched products and expanding its market position across its various businesses. In the nutrition businesses, Abbott will focus on introducing new products to adapt to evolving consumer preferences and driving growth globally. In the established pharmaceuticals businesses, Abbott will continue to focus on growing the depth and breadth of its portfolio in emerging markets, including expanding its biosimilars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Sales Rebates </w:t>
      </w:r>
      <w:r>
        <w:rPr>
          <w:rFonts w:ascii="Times New Roman" w:cs="Times New Roman" w:eastAsia="Times New Roman" w:hAnsi="Times New Roman"/>
          <w:sz w:val="18"/>
          <w:szCs w:val="18"/>
          <w:color w:val="auto"/>
        </w:rPr>
        <w:t>— In 2025, 44 percent of Abbott’s consolidated gross revenues were subject to various forms of rebates and allowances that Abbott recorded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reductions of revenues at the time of sale. Most of these rebates and allowances in 2025 are in the Nutritional Products and Diabetes Care businesses. Abbott provides rebates to state agencies, wholesalers, group purchasing organizations, and other government agencies and private entities. Rebate amounts are usually based upon the volume of purchases using contractual or statutory prices for a product. Factors used in the rebate calculations include the identification of which products have been sold subject to a rebate, which customer or government agency price terms apply, and the estimated lag time between sale and payment of a rebate. Using historical trends, adjusted for current changes, Abbott estimates the amount of the rebate that will be paid, and records the liability as a reduction of gross sales when Abbott records its sale of the product. Settlement of the rebate generally occurs from one to six months after sale. Abbott regularly analyzes the historical rebate trends and makes adjustments to reserves for changes in trends and terms of rebate programs. Rebates and chargebacks charged against gross sales in 2025, 2024, and 2023 amounted to $4.8 billion in 2025, $4.4 billion in 2024, and $3.9 billion in 2023, or 21.1 percent, 18.6 percent, and 17.4 percent of gross sales, respectively, based on gross sales of approximately $22.5 billion, $23.5 billion, and $22.7 billion, respectively, subject to rebate. A one-percentage point increase in the percentage of rebates to related gross sales would decrease net sales by approximately $225 million in 2025. Abbott considers a one-percentage point increase to be a reasonably likely increase in the percentage of rebates related to gross sales. Other allowances charged against gross sales were $316 million, $319 million, and $263 million for cash discounts in 2025, 2024, and 2023, respectively, and $236 million, $211 million, and $169 million for returns in 2025, 2024, and 2023, respectively. Cash discounts are known within 15 to 30 days of sale and therefore can be reliably estimated. Returns can be reliably estimated because Abbott’s historical returns are low, and because sales returns terms and other sales terms have remained relatively unchanged for several periods.</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analyzes the adequacy of ending rebate accrual balances each quarter using both internal and external data available to estimate the accruals. Historically, adjustments to prior years’ rebate accruals have not been material to net earnings. Abbott employs various techniques to verify the accuracy of submitted claims, and where possible, works with the organizations submitting claims to gain insight into changes that might affect the rebate amounts. For government agency programs, the calculation of a rebate involves interpretations of relevant regulations, which are subject to challenge or change in interpretation.</w:t>
      </w:r>
    </w:p>
    <w:p>
      <w:pPr>
        <w:spacing w:after="0" w:line="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Abbott operates in numerous countries where its income tax returns are subject to audits and adjustments. Because Abbott operates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globally, the nature of the audit items is often very complex, and the objectives of the government auditors can result in a tax on the same income in more than one country. Abbott employs internal and external tax professionals to minimize audit adjustment amounts where possible. In accordance with the accounting rules relating to the measurement of tax contingencies, in order to recognize an uncertain tax benefit, the taxpayer must be more likely than not of sustaining the position, and the measurement of the benefit is calculated as the largest amount that is more than 50 percent likely to be realized upon resolution of the benefit. Application of these rules requires a significant amount of judgment. In the U.S., Abbott’s federal income tax returns through 2016 were settled as of December 31, 2025. Undistributed foreign earnings remain indefinitely reinvested in foreign operations. Determining the amount of unrecognized deferred tax liability related to any remaining undistributed foreign earnings not subject to the transition tax and additional outside basis difference in its foreign entities is not practicable.</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Pension and Post-Employment Benefits </w:t>
      </w:r>
      <w:r>
        <w:rPr>
          <w:rFonts w:ascii="Times New Roman" w:cs="Times New Roman" w:eastAsia="Times New Roman" w:hAnsi="Times New Roman"/>
          <w:sz w:val="18"/>
          <w:szCs w:val="18"/>
          <w:color w:val="auto"/>
        </w:rPr>
        <w:t>— Abbott offers pension benefits and post-employment healthcare to many of its employees. Abbott engages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outside actuaries to assist in the determination of the obligations and costs under these programs. Abbott must develop long-term assumptions, the most significant of which are the healthcare cost trend rates, discount rates, and the expected return on plan assets. The discount rates used to measure liabilities were determined based on high-quality fixed income securities that match the duration of the expected retiree benefits. The healthcare cost trend rates represent Abbott’s expected annual rates of change in the cost of healthcare benefits and are a forward projection of healthcare costs as of the measurement date. A difference between the assumed rates and the actual rates, which will not be known for years, can be significant in relation to the obligations and the annual cost recorded for these programs. The net actuarial gains for Abbott's defined benefit plans in 2025 reflect the impact of actual asset returns during the year in excess of expected returns and the impact of higher discount rates on the measurement of plan liabilities. The net actuarial losses for Abbott's medical and dental plans primarily reflect an increase in claims. At December 31, 2025, pretax net actuarial gains (losses) and prior service costs and credits recognized in Accumulated other comprehensive income (loss) were net gains of $152 million for Abbott’s defined benefit plans and net losses of $189 million for Abbott’s medical and dental plans. Actuarial losses and gains are amortized over the remaining service attribution periods of the employees under the corridor method, in accordance with the rules for accounting for post-employment benefits. Differences between the expected long-term return on plan assets and the actual annual return are amortized over a five-year period.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Valuation of Intangible Assets </w:t>
      </w:r>
      <w:r>
        <w:rPr>
          <w:rFonts w:ascii="Times New Roman" w:cs="Times New Roman" w:eastAsia="Times New Roman" w:hAnsi="Times New Roman"/>
          <w:sz w:val="18"/>
          <w:szCs w:val="18"/>
          <w:color w:val="auto"/>
        </w:rPr>
        <w:t>— Abbott has acquired and continues to acquire significant intangible assets that Abbott records at fair value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date. Transactions involving the purchase or sale of intangible assets occur with some frequency between companies in the healthcare field and valuations are usually based on a discounted cash flow analysis. The discounted cash flow model requires assumptions about the timing and amount of future net cash flows, risk, cost of capital, terminal values, and market participants. Each of these factors can significantly affect the value of the intangible asset. Abbott engages independent valuation experts who review Abbott’s critical assumptions and calculations for acquisitions of significant intangible assets. Abbott reviews definite-lived intangible assets for impairment each quarter. An undiscounted net cash flows approach is used to test for impairment. If the undiscounted cash flows of an intangible asset are less than the carrying value of an intangible asset, the intangible asset is written down to its fair value, which is usually the discounted cash flow amount. Where cash flows cannot be identified for an individual asset, the review is applied at the lowest group level for which cash flows are identifiable. Goodwill and indefinite-lived intangible assets, which relate to in-process research and development (IPR&amp;D) acquired in a business combination or consolidated variable interest entities, are reviewed for impairment annually or when an event that could result in an impairment occurs. At December 31, 2025, goodwill amounted to $24.0 billion and net intangible assets amounted to $5.5 billion. Amortization expense for intangible assets amounted to $1.7 billion in 2025, $1.9 billion in 2024, and $2.0 billion in 2023. There was no reduction of goodwill relating to impairments in 2025, 2024, and 2023.</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 Abbott accounts for litigation losses in accordance with Financial Accounting Standards Board (FASB) Accounting Standards Codification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(ASC) No. 450, “Contingencies.” Under ASC No. 450, loss contingency provisions are recorded for probable losses at management’s best estimate of a loss, or when a best estimate cannot be made, a minimum loss contingency amount is recorded. These estimates are often initially developed substantially earlier than the ultimate loss is known, and the estimates are refined each accounting period as additional information becomes known. Accordingly, Abbott is often initially unable to develop a best estimate of loss, and therefore the minimum amount, which could be zero, is recorded. As information becomes known, either the minimum loss amount is increased, resulting in additional loss provisions, or a best estimate can be made, also resulting in additional loss provisions. Occasionally, a best estimate amount is changed to a lower amount when events result in an expectation of a more favorable outcome than previously expected. Abbott estimates the range of possible loss to be from approximately $170 million to $180 million for its legal proceedings and environmental exposures. The recorded accruals balance at December 31, 2025, for these proceedings and exposures were approximately $175 million and included $165 million for legal reserves related to a negotiated settlement. These accruals represent management’s best estimate of probable loss, as defined by FASB ASC No. 450, “Contingencies.”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sales growth by reportable segment for the last two years: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Components of % Change</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1080" w:type="dxa"/>
            <w:vAlign w:val="bottom"/>
            <w:vMerge w:val="restart"/>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0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148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Exchange</w:t>
            </w:r>
          </w:p>
        </w:tc>
        <w:tc>
          <w:tcPr>
            <w:tcW w:w="0" w:type="dxa"/>
            <w:vAlign w:val="bottom"/>
          </w:tcPr>
          <w:p>
            <w:pPr>
              <w:spacing w:after="0"/>
              <w:rPr>
                <w:sz w:val="1"/>
                <w:szCs w:val="1"/>
                <w:color w:val="auto"/>
              </w:rPr>
            </w:pPr>
          </w:p>
        </w:tc>
      </w:tr>
      <w:tr>
        <w:trPr>
          <w:trHeight w:val="195"/>
        </w:trPr>
        <w:tc>
          <w:tcPr>
            <w:tcW w:w="5060" w:type="dxa"/>
            <w:vAlign w:val="bottom"/>
          </w:tcPr>
          <w:p>
            <w:pPr>
              <w:spacing w:after="0"/>
              <w:rPr>
                <w:sz w:val="16"/>
                <w:szCs w:val="16"/>
                <w:color w:val="auto"/>
              </w:rPr>
            </w:pPr>
          </w:p>
        </w:tc>
        <w:tc>
          <w:tcPr>
            <w:tcW w:w="108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0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 vs. 2024</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5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vs. 2023</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5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 vs. 2024</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vs. 2023</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5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International</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 vs. 2024</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5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vs. 2023</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5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Established Pharmaceutical Products Segment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 vs. 2024</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5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vs. 2023</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5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Nutritional Products Segment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 vs. 2024</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vs. 2023</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Diagnostic Products Segment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 vs. 2024</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vs. 2023</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Devices Segment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 vs. 2024</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5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vs. 2023</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5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increase in total net sales in 2025, excluding the impact of foreign exchange, primarily reflects higher sales in the Medical Devices and Established Pharmaceutical Products segments. Nutritional Products segment sales for the year remained relatively unchanged, reflecting price increases and lower volumes. Diagnostic Products segment sales continued to be impacted by the decline in COVID-19 testing-related sales and challenging market conditions in China. Abbott’s COVID-19 testing-related sales totaled $297 million in 2025, $747 million in 2024 and $1.6 billion in 2023. Abbott’s net sales in 2025 were not significantly impacted by changes in foreign exchange rates as the relatively stronger U.S. dollar at the beginning of the year weakened later in the year, resulting in a 0.2 percent favorable impact on total international sales and total sales.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total net sales in 2024, excluding the impact of foreign exchange, primarily reflects higher sales in the Medical Devices, Established Pharmaceutical Products, and Nutritional Products segments, partially offset by a decrease in demand for Abbott’s rapid diagnostic tests to detect COVID-</w:t>
      </w:r>
    </w:p>
    <w:p>
      <w:pPr>
        <w:ind w:right="20" w:firstLine="8"/>
        <w:spacing w:after="0" w:line="260" w:lineRule="auto"/>
        <w:tabs>
          <w:tab w:leader="none" w:pos="29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Abbott’s net sales in 2024 were unfavorably impacted by changes in foreign exchange rates as the relatively stronger U.S. dollar decreased total international sales by 4.2 percent and total sales by 2.6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provides detail by sales category for the years ended December 31. Percent changes are versus the prior year and are based on unrounded numbers.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Impact of</w:t>
            </w:r>
          </w:p>
        </w:tc>
        <w:tc>
          <w:tcPr>
            <w:tcW w:w="14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4"/>
        </w:trPr>
        <w:tc>
          <w:tcPr>
            <w:tcW w:w="39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Exchange</w:t>
            </w:r>
          </w:p>
        </w:tc>
        <w:tc>
          <w:tcPr>
            <w:tcW w:w="14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Excl. Exchange</w:t>
            </w:r>
          </w:p>
        </w:tc>
        <w:tc>
          <w:tcPr>
            <w:tcW w:w="0" w:type="dxa"/>
            <w:vAlign w:val="bottom"/>
          </w:tcPr>
          <w:p>
            <w:pPr>
              <w:spacing w:after="0"/>
              <w:rPr>
                <w:sz w:val="1"/>
                <w:szCs w:val="1"/>
                <w:color w:val="auto"/>
              </w:rPr>
            </w:pPr>
          </w:p>
        </w:tc>
      </w:tr>
      <w:tr>
        <w:trPr>
          <w:trHeight w:val="23"/>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390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Established Pharmaceutical Products—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Key Emerging Markets</w:t>
            </w:r>
          </w:p>
        </w:tc>
        <w:tc>
          <w:tcPr>
            <w:tcW w:w="82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4,167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8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Emerging Markets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Nutritional Products —</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Pediatric Nutritionals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Pediatric Nutritionals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Adult Nutritionals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3,029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Adult Nutritionals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Diagnostic Products —</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Core Laboratory</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5,360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Molecular</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Point of Care</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Rapid Diagnostics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Devices —</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Rhythm Management</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2,649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Electrophysiology</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9"/>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Heart Failure</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Vascular</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Structural Heart</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Neuromodulation</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4"/>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Diabetes Care</w:t>
            </w:r>
          </w:p>
        </w:tc>
        <w:tc>
          <w:tcPr>
            <w:tcW w:w="8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7,998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00" w:type="dxa"/>
            <w:vAlign w:val="bottom"/>
          </w:tcPr>
          <w:p>
            <w:pPr>
              <w:spacing w:after="0"/>
              <w:rPr>
                <w:sz w:val="20"/>
                <w:szCs w:val="20"/>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20"/>
                <w:szCs w:val="20"/>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900"/>
        </w:trPr>
        <w:tc>
          <w:tcPr>
            <w:tcW w:w="3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74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Impact of</w:t>
            </w:r>
          </w:p>
        </w:tc>
        <w:tc>
          <w:tcPr>
            <w:tcW w:w="12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4"/>
        </w:trPr>
        <w:tc>
          <w:tcPr>
            <w:tcW w:w="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4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Exchange</w:t>
            </w: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Excl. Exchange</w:t>
            </w:r>
          </w:p>
        </w:tc>
        <w:tc>
          <w:tcPr>
            <w:tcW w:w="0" w:type="dxa"/>
            <w:vAlign w:val="bottom"/>
          </w:tcPr>
          <w:p>
            <w:pPr>
              <w:spacing w:after="0"/>
              <w:rPr>
                <w:sz w:val="1"/>
                <w:szCs w:val="1"/>
                <w:color w:val="auto"/>
              </w:rPr>
            </w:pPr>
          </w:p>
        </w:tc>
      </w:tr>
      <w:tr>
        <w:trPr>
          <w:trHeight w:val="23"/>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390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9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Established Pharmaceutical Products —</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Key Emerging Markets</w:t>
            </w:r>
          </w:p>
        </w:tc>
        <w:tc>
          <w:tcPr>
            <w:tcW w:w="82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3,858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Emerging Markets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70"/>
        </w:trPr>
        <w:tc>
          <w:tcPr>
            <w:tcW w:w="3900" w:type="dxa"/>
            <w:vAlign w:val="bottom"/>
            <w:gridSpan w:val="2"/>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Nutritional Products —</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International Pediatric Nutritionals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19"/>
                <w:szCs w:val="19"/>
                <w:color w:val="auto"/>
              </w:rPr>
            </w:pP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Pediatric Nutritionals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9"/>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International Adult Nutritionals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2,909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Adult Nutritionals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0"/>
        </w:trPr>
        <w:tc>
          <w:tcPr>
            <w:tcW w:w="3900" w:type="dxa"/>
            <w:vAlign w:val="bottom"/>
            <w:gridSpan w:val="2"/>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Diagnostic Products —</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Core Laboratory</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5,235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Molecular</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Point of Care</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Rapid Diagnostics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70"/>
        </w:trPr>
        <w:tc>
          <w:tcPr>
            <w:tcW w:w="3900" w:type="dxa"/>
            <w:vAlign w:val="bottom"/>
            <w:gridSpan w:val="2"/>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Devices —</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Rhythm Management</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2,390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Electrophysiology</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9"/>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Heart Failure</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Vascular</w:t>
            </w:r>
          </w:p>
        </w:tc>
        <w:tc>
          <w:tcPr>
            <w:tcW w:w="30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Structural Heart</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Neuromodulation</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4"/>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Diabetes Care</w:t>
            </w:r>
          </w:p>
        </w:tc>
        <w:tc>
          <w:tcPr>
            <w:tcW w:w="8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6,805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00" w:type="dxa"/>
            <w:vAlign w:val="bottom"/>
          </w:tcPr>
          <w:p>
            <w:pPr>
              <w:spacing w:after="0"/>
              <w:rPr>
                <w:sz w:val="20"/>
                <w:szCs w:val="20"/>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20"/>
                <w:szCs w:val="20"/>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86"/>
        </w:trPr>
        <w:tc>
          <w:tcPr>
            <w:tcW w:w="4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w:t>
            </w:r>
          </w:p>
        </w:tc>
        <w:tc>
          <w:tcPr>
            <w:tcW w:w="10340" w:type="dxa"/>
            <w:vAlign w:val="bottom"/>
            <w:gridSpan w:val="13"/>
          </w:tcPr>
          <w:p>
            <w:pPr>
              <w:ind w:left="60"/>
              <w:spacing w:after="0"/>
              <w:rPr>
                <w:sz w:val="20"/>
                <w:szCs w:val="20"/>
                <w:color w:val="auto"/>
              </w:rPr>
            </w:pPr>
            <w:r>
              <w:rPr>
                <w:rFonts w:ascii="Times New Roman" w:cs="Times New Roman" w:eastAsia="Times New Roman" w:hAnsi="Times New Roman"/>
                <w:sz w:val="16"/>
                <w:szCs w:val="16"/>
                <w:color w:val="auto"/>
              </w:rPr>
              <w:t>To compute results excluding the impact of exchange rates, current year U.S. dollar sales are multiplied or divided, as appropriate, by the current year average</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9060" w:type="dxa"/>
            <w:vAlign w:val="bottom"/>
            <w:gridSpan w:val="12"/>
          </w:tcPr>
          <w:p>
            <w:pPr>
              <w:ind w:left="60"/>
              <w:spacing w:after="0"/>
              <w:rPr>
                <w:sz w:val="20"/>
                <w:szCs w:val="20"/>
                <w:color w:val="auto"/>
              </w:rPr>
            </w:pPr>
            <w:r>
              <w:rPr>
                <w:rFonts w:ascii="Times New Roman" w:cs="Times New Roman" w:eastAsia="Times New Roman" w:hAnsi="Times New Roman"/>
                <w:sz w:val="16"/>
                <w:szCs w:val="16"/>
                <w:color w:val="auto"/>
              </w:rPr>
              <w:t>foreign exchange rates and then those amounts are multiplied or divided, as appropriate, by the prior year average foreign exchange rates.</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Established Pharmaceutical Products segment sales increased 7.4 percent in 2025 and 9.2 percent in 2024, excluding the unfavorable impact of foreign exchange. Excluding the effect of foreign exchange, sales in Key Emerging Markets for Established Pharmaceutical Products increased 9.5 percent in 2025 and 2024, led by higher revenue in several countries and across multiple therapeutic areas, including cardiometabolic, gastroenterology, and central nervous system/pain management. In 2024, growth in this segment also reflected higher respiratory product sales. Other Emerging Markets, excluding the effect of foreign exchange, increased by 1.4 percent in 2025 and 8.4 percent in 2024. Growth in 2025 was unfavorably impacted by the absence of deferred gain amortization related to a prior transaction. The deferred gain was fully amortized in 2024.</w:t>
      </w:r>
    </w:p>
    <w:p>
      <w:pPr>
        <w:spacing w:after="0" w:line="79"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Excluding the impact of foreign exchange, total Nutritional Products segment sales increased 1.1 percent in 2025 and 5.9 percent in 2024. U.S. Pediatric Nutritionals sales decreased 2.3 percent in 2025, primarily reflecting lower infant formula sales. In 2024, U.S. Pediatric Nutritionals sales increased 11.7 percent, driven by infant formula market share gains and the favorable impact of price increases, partially offset by a decrease in PediaSure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Pedialyte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sales.</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Excluding the effect of foreign exchange, International Pediatric Nutritionals sales increased 1.3 percent in 2025, driven primarily by higher PediaSure product sales. Excluding the effect of foreign exchange, the 4.3 percent decrease in International Pediatric Nutritionals sales in 2024 reflects lower sales in the Asia Pacific and Latin America regions, partially offset by increased sales in Canada and the Europe/Middle East regions.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In 2025, U.S. Adult Nutritionals sales decreased 2.2 percent, reflecting lower Ensure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sales and the discontinuation of the ZonePerfect product line in March 2024, partially offset by growth in Glucerna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sales. International Adult Nutritionals sales, excluding the effect of foreign exchange, increased 5.1 percent due to growth of Ensure and Glucerna product sales. In 2024, U.S. and International Adult Nutritionals sales increased 3.2 percent and 10.5 percent, respectively, due to higher Ensure and Glucerna product sales. In 2024, U.S. Adult Nutritionals sales were partially offset by the discontinuation of the ZonePerfect product line.</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Excluding the effect of foreign exchange, Diagnostic Products segment sales decreased 4.5 percent in 2025 and 3.9 percent in 2024 due to the continued decline in COVID-19 testing-related sales and challenging market conditions in China. Rapid Diagnostics sales decreased 18.0 percent in 2025 and 17.8 percent in 2024, excluding the effect of foreign exchange. The 2025 and 2024 sales decrease in Rapid Diagnostics reflects lower demand for COVID-19 testing-related sales, which were $285 million in 2025 and $725 million in 2024.</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Core Laboratory, sales increased 2.1 percent in 2025 and 5.6 percent in 2024, driven by continued growth of Alinity product sales outside of China. Lower sales in China were due to the impact of challenging market conditions, including the impact of volume-based procurement programs. In 2024, sales increased due to higher volume of routine diagnostic testing performed in hospitals and other laboratories along with price increases.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Excluding the effect of foreign exchange, total Medical Devices segment sales grew 11.9 percent in 2025 and 13.7 percent in 2024, led by double-digit growth in Diabetes Care, Heart Failure, Electrophysiology, and Structural Heart, and in 2025, Rhythm Management. Higher Diabetes Care sales were driven by continued growth in Abbott’s CGM systems in the U.S. and internationally. CGM sales totaled $7.6 billion in 2025, representing a 17.4 percent increase, excluding the effect of foreign exchange, compared to $6.4 billion in 2024.</w:t>
      </w:r>
    </w:p>
    <w:p>
      <w:pPr>
        <w:spacing w:after="0" w:line="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Heart Failure, sales grew 12.7 percent in 2025 and 10.3 percent in 2024, excluding the effect of foreign exchange. The increase primarily reflects growth across the portfolio of ventricular assist devices and related accessories, as well as growth in CardioMEMs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 implantable sensor used for the early detection of heart failure.</w:t>
      </w:r>
    </w:p>
    <w:p>
      <w:pPr>
        <w:spacing w:after="0" w:line="92"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In Structural Heart, sales increased 11.5 percent in 2025 and 17.0 percent in 2024, excluding the effect of foreign exchange, primarily driven by growth in TriClip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Navitor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Mitraclip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sales.</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Electrophysiology sales, excluding the effect of foreign exchange, increased 11.6 percent in 2025 and 14.4 percent in 2024, primarily due to higher procedure volumes and increased demand for Abbott's portfolio of products designed to diagnose and treat cardiac arrhythmias.</w:t>
      </w:r>
    </w:p>
    <w:p>
      <w:pPr>
        <w:spacing w:after="0" w:line="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Rhythm Management, sales increased 10.2 percent in 2025 and 6.9 percent in 2024, excluding the impact of foreign exchange, primarily driven by growth in Aveir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leadless pacemakers. In 2025, sales growth was partially offset by lower traditional pacemaker and implantable cardioverter defibrillator sales.</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Abbott’s operations in Russia and Ukraine represent approximately 2 percent of Abbott’s total revenues and net assets, and to date the financial impact of Russia’s invasion of Ukraine has not been material to Abbott’s operations or financial condition. Future implications are difficult to predict, but at present Abbott does not anticipate that the Russia-Ukraine conflict will have a material impact on its operations or financial condition. A more detailed discussion of the risks associated with the Russia-Ukraine conflict is contained in Item 1A. Risk Factors.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expiration of licenses and patent protection can affect the future revenues and operating income of Abbott. There are no significant patent or license expirations in the next three years that are expected to materially affect Abbott.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Earnings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margins were 52.6 percent of net sales in 2025, 50.9 percent of net sales in 2024, and 50.3 percent of net sales in 2023. The increase in 2025 reflects the favorable impact of margin improvement initiatives, partially offset by higher costs, including tariffs, and the unfavorable impact of foreign exchange. The increase in 2024 reflects the favorable impact of margin improvement initiatives, partially offset by the unfavorable effect of foreign exchange.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expenses were $2.9 billion in 2025, $2.8 billion in 2024, and $2.7 billion in 2023. The increases in R&amp;D expenses in 2025 and 2024 were primarily driven by higher spending on various projects. In 2024, higher project spending was partially offset by lower 2024 charges for the impairment of IPR&amp;D assets acquired in previous business combinations.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were $12.3 billion in 2025, $11.7 billion in 2024, and $10.9 billion in 2023. In 2025 and 2024, the increase in SG&amp;A expenses was due to higher selling and marketing spending to drive growth across various businesses. In 2024, SG&amp;A spending was partially offset by the favorable impact of foreign exchange.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2025, Abbott management approved plans to streamline certain operations in order to reduce costs and improve efficiencies in its Diagnostics, Nutritionals, Established Pharmaceuticals, and Medical Devices businesses. Abbott recorded employee related severance and other charges of $274 million, of which $109 million was recorded in Cost of products sold, $53 million was recorded in R&amp;D, and $112 million was recorded in SG&amp;A expenses. Payments related to these actions totaled $94 million in 2025 and the remaining liabilities totaled $180 million at December 31, 2025. In addition, in 2025, Abbott recognized fixed asset impairment charges of $28 million related to these restructuring plans.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2024, Abbott management approved plans to streamline certain operations in order to reduce costs and improve efficiencies in its Diagnostics, Medical Devices, Established Pharmaceuticals, and Nutritionals businesses, including the discontinuation of its ZonePerfect product line. Abbott recorded employee related severance and other charges of $129 million, of which $62 million was recorded in Cost of products sold, $21 million was recorded in R&amp;D, and $46 million was recorded in SG&amp;A expenses. In addition, Abbott recognized inventory-related charges of $34 million and fixed asset impairment charges of $12 million related to these restructuring plans.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2023, Abbott management approved plans to restructure various operations in order to reduce costs in its Medical Devices, Diagnostics, and Established Pharmaceuticals businesses. Abbott recorded employee related severance and other charges of $144 million, of which $56 million was recorded in Cost of products sold, $22 million was recorded in R&amp;D, and $66 million was recorded in SG&amp;A expenses. In addition, Abbott recognized fixed asset impairment and inventory-related charges of $31 million related to these restructuring plans.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and Interest (Income)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net decreased from $215 million in 2024 to $185 million in 2025. In 2025, interest expense decreased primarily due to the repayment of approximately $2.0 billion of long-term debt in November 2024, March 2025, and September 2025, as well as the maturity of an interest rate swap associated with the March 2025 debt. Interest expense decreased in 2024 due to the repayment of $2.25 billion of long-term debt in September and November of 2023, partially offset by a reduction in interest income due to lower average cash and short-term investment balances versus the prior year.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(income) expense, net was $548 million of income in 2025, $376 million of income in 2024, and $479 million of income in 2023. Other (income) expense, net includes income of $590 million, $542 million, and $498 million in 2025, 2024, and 2023, respectively, related to the non-service cost components of the net periodic benefit costs associated with the pension and post-retirement medical plans. The increase in 2025 and the decrease in 2024 were primarily due to the recognition of a $143 million loss on the sale of a non-core business related to the Established Pharmaceutical Products segment in 2024. The increase in 2025 also reflects higher income associated with the non-service cost components of net pension and post-retirement medical benefit costs. The decrease in 2024 was partially offset by an increase in income associated with the non-service cost components of net pension and post-retirement medical benefit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Taxes on Earnings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Taxes on earnings reflect the annual effective rates, including charges for interest and penalties. Deferred income taxes reflect the tax consequences on future years of differences between the tax bases of assets and liabilities and their financial reporting amounts.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Taxes on earnings included $92 million, $50 million, and $22 million in excess tax benefits associated with share-based compensation in 2025, 2024, and 2023, respectively. As a result of the resolution of various tax positions related to prior years, taxes on earnings in 2025, 2024, and 2023 also included approximately $70 million of net tax benefit, $25 million, and $80 million of net tax expense, respectively. In 2025, taxes on earnings included approximately $610 million of tax expense related to a deferred tax asset that was recognized as a significant non-cash tax benefit in a prior year. In 2024, taxes on earnings included $7.5 billion in non-cash valuation allowance adjustments resulting from the restructuring of certain foreign affiliates and the confirmation of certain tax filing positions. The restructuring improved profitability to several of Abbott’s affiliates and management concluded that the related preexisting deferred tax assets, which historically had a full valuation allowance, were more likely than not to be realizable in future periods. In particular, Abbott considered the likelihood of sustained ongoing profitability of the affiliates as a positive factor that outweighed all available negative evidence considered. Accordingly, Abbott released the full valuation allowance on such deferred tax assets and recorded the offset to taxes on earnings.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U.S. Tax Cuts and Jobs Act (TCJA) included a one-time transition tax that is based on Abbott’s total post-1986 earnings and profits (E&amp;P) that were previously deferred from U.S. income taxes. The tax computation also required the determination of the amount of post-1986 E&amp;P considered held in cash and other specified assets. As of December 31, 2025, the remaining balance of Abbott’s transition tax obligation related to the TCJA was approximately $205 million. The final installment will be paid in 2026 as allowed by the TCJA. Undistributed foreign earnings remain indefinitely reinvested in foreign operations. Determining the amount of unrecognized deferred tax liability related to any remaining undistributed foreign earnings not subject to the transition tax and additional outside basis difference in its foreign entities is not practicable.</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U.S., Abbott’s federal income tax returns through 2016 are settled. In September 2023, Abbott received a Statutory Notice of Deficiency (SNOD) from the IRS for the 2019 Federal tax year in the amount of $417 million. The primary adjustments proposed in the SNOD relate to the reallocation of income between Abbott’s U.S. entities and its foreign affiliates. Abbott believes that the income reallocation adjustments proposed in the SNOD are without merit, in part because certain adjustments contradict methods that were agreed to with the IRS in prior audit periods. The SNOD also contains other proposed adjustments that Abbott believes are erroneous and unsupported. Abbott filed a petition with the U.S. Tax Court contesting the SNOD in December 2023.</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Abbott received a SNOD from the IRS for the 2017 and 2018 Federal tax years in the amount of $192 million. The matters proposed in the 2017/2018 SNOD are substantially similar to the income allocation adjustments included in the 2019 SNOD. Abbott filed a petition in September 2024 with the U.S. Tax Court contesting the 2017/2018 SNOD in a manner consistent with its petition for the 2019 SNOD.</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2024, Abbott received a SNOD from the IRS for the 2020 Federal tax year assessing an additional $443 million of income tax. The primary adjustments proposed in the SNOD are substantially similar to the income allocation adjustments included in the 2017/2018 and 2019 SNODs. Abbott believes that the income reallocation adjustments proposed in the SNOD are without merit. The SNOD also contains other proposed adjustments and omissions that Abbott believes are erroneous and unsupported. In addition to the tax assessment for the 2020 tax year, the 2020 SNOD also contested a deduction for which an estimated $440 million cash tax benefit would be available in a different taxable year as allowed under applicable U.S. tax law. Abbott filed a petition with the U.S. Tax Court contesting the SNOD in December 2024.</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Abbott and the IRS are in active discussions regarding several of the disputed items contained in the 2017 – 2020 SNODs.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2024, Abbott received a $413 million tax assessment from the Malaysian tax authorities for the 2023 tax year. The assessment applies a property capital gains tax on the value of the shares associated with the intercompany sale of an affiliate. Abbott believes the assessment of the Malaysian tax authority to be without merit. In October 2025, the Penang High Court upheld the assessment of the Malaysian tax authority. In October 2025, Abbott filed an appeal with the Malaysian Court of Appeals.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numerous other income tax jurisdictions for which tax returns are not yet settled, none of which Abbott expects to be individually significant. Abbott intends to vigorously defend its filing positions in all jurisdictions in which it has unresolved tax matters through ongoing discussions with taxing administrations and/or through litigation as necessary. Abbott reserves for uncertain tax positions related to unresolved tax matters where Abbott’s tax filing position does not meet the standard for recognition of an income tax benefit. Abbott continues to believe that the amount of its recorded reserves for uncertain tax positions is appropriate. Reserves for interest and penalties are not significant.</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Organization for Economic Cooperation &amp; Development (OECD) has proposed a two-pillared plan for a revised international tax system. Pillar 1 proposes to reallocate taxing rights among the jurisdictions in which in-scope multinational corporations operate. Pillar 2 proposes to assess a 15 percent minimum tax on the earnings of in-scope multinational corporations on a country-by-country basis. Numerous countries have enacted legislation to adopt the Pillar 2 model rules. On January 5, 2026, the OECD released administrative guidance that, when enacted, exempts U.S.-parented groups from the Pillar 2 minimum tax. Abbott continues to monitor legislative developments and assess any potential impacts on Abbott's operations for both the Pillar 1 and Pillar 2 proposals.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 Taxes on Earnings to the consolidated financial statements for a full reconciliation of the effective tax rate to the U.S. federal statutory rate.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Programs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Abbott currently has numerous pharmaceutical, medical device, diagnostic and nutritional products in development.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Process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Established Pharmaceutical Products segment, the development process focuses on the geographic expansion and continuous improvement of the segment’s existing products to provide benefits to patients and customers. As Established Pharmaceutical Products does not actively pursue primary research, development usually begins with work on existing products or after the completion of an acquisition or licensing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Depending upon the product, the phases of development may include:</w:t>
      </w:r>
    </w:p>
    <w:p>
      <w:pPr>
        <w:spacing w:after="0" w:line="11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product development.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 bioequivalence studies to compare a future Established Pharmaceutical’s brand with an already marketed compound with the same active pharmaceutical ingredient (API).</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II studies to test the efficacy of benefits in a small group of patients.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III studies to broaden the testing to a wider population that reflects the actual medical use.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IV and other post-marketing studies to obtain new clinical use data on existing products within approved indications.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specific requirements (e.g., scope of clinical trials) for obtaining regulatory approval vary across different countries and geographic regions. The process may range from one year for a bioequivalence study project to six or more years for complex formulations, new indications, or geographic expansion in specific countries.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Diagnostic Products segment, the phases of the research and development process include:</w:t>
      </w:r>
    </w:p>
    <w:p>
      <w:pPr>
        <w:spacing w:after="0" w:line="11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which focuses on identification of a product that will address a specific therapeutic area, platform, or unmet clinical need.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Concept/Feasibility, during which the materials and manufacturing processes are evaluated; testing may include product characterization and analysis is performed to confirm clinical utility.</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during which extensive testing is performed to demonstrate that the product meets specified design requirements and that the design specifications conform to user needs and intended uses.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regulatory requirements for diagnostic products vary across different countries and geographic regions. In the U.S., the FDA classifies diagnostic products into classes (I, II, or III) and the classification determines the regulatory process for approval. While the Diagnostics segment has products in all three classes, the vast majority of its products are categorized as Class I or Class II. Submission of a separate regulatory filing is not required for Class I products. Class II products typically require premarket notification to the FDA through a regulatory filing known as a 510(k) submission. Most Class III products are subject to the FDA’s Premarket Approval (PMA) requirements. Other Class III products, such as those used to screen blood, require the submission and approval of a Biological License Application (BLA).</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European Union (EU), diagnostic products are also categorized into different categories and the regulatory process, which had been governed by the European In Vitro Diagnostic Medical Device Directive, depends upon the category. Certain product categories require review and approval by an independent company, known as a Notified Body, before the manufacturer can affix a CE mark to the product to declare conformity to the Directive. Other products only require a self-certification process. In 2017, the EU adopted the new In Vitro Diagnostic Regulation (IVDR) which replaced the existing directive in the EU for in vitro diagnostic products and imposed additional premarket and post-market regulatory requirements on manufacturers of such products. In July 2024, the IVDR was amended to extend the transition timeline period for dates of compliance as long as December 2029, depending on the diagnostic device classification. The diagnostic device must meet additional specific conditions set out in the amended regulations. However, the amendment did not delay the date of application of the IVDR itself which took effect on May 26, 2022.</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Medical Devices segment, the research and development process begins with research on a specific technology that is evaluated for feasibility and commercial viability. If the research program passes that hurdle, it moves forward into development. The development process includes evaluation, selection and qualification of a product design, completion of applicable clinical trials to test the product’s safety and efficacy, and validation of the manufacturing process to demonstrate its repeatability and ability to consistently meet pre-determined specifications.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Similar to the diagnostic products discussed above, in the U.S., medical devices are classified as Class I, II, or III. Most of Abbott’s medical device products are classified as Class II devices that follow the 510(k) regulatory process or Class III devices that are subject to the PMA process.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EU, medical devices are also categorized into different classes and the regulatory process, which had been governed by the European Medical Device Directive and the Active Implantable Medical Device Directive, varies by class. In the second quarter of 2017, the EU adopted the new Medical Devices Regulation (MDR) which replaced the existing directives in the EU for medical devices and imposes additional premarket and post-market regulatory requirements on manufacturers of such products. The MDR applies to manufacturers as of May 26, 2021, with extended transition periods lasting as long as December 31, 2028, depending on the risk classification of the device in the regulation. Each product must bear a CE mark to show compliance with the MDR.</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products require submission of a design dossier to the appropriate regulatory authority for review and approval prior to CE marking of the device. For other products, the company is required to prepare a technical file which includes testing results and clinical evaluations but can self-certify its ability to apply the CE mark to the product. Outside the U.S. and the EU, the regulatory requirements vary across different countries and regions.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After approval and commercial launch of some medical devices, post-market trials may be conducted either due to a conditional requirement of the regulatory market approval or with the objective of proving product superiority.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Nutritional Products segment, the research and development process generally focuses on identifying and developing ingredients and products that address the nutritional needs of particular populations (e.g., infants and adults) or patients (e.g., people with diabetes). Depending upon the country and/or region, if claims regarding a product’s efficacy will be made, clinical studies typically must be conducted.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U.S., the FDA requires that it be notified of proposed new formulations and formulation or packaging changes related to infant formula products. Prior to the launch of an infant formula or product packaging change, the company is required to obtain the FDA’s confirmation that it has no objections to the proposed product or packaging. For other nutritional products, notification or pre-approval from the FDA is not required unless the product includes a new food additive. In some countries, regulatory approval may be required for certain nutritional products, including infant formula and medical nutritional products.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Areas of Focus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2026 and beyond, Abbott expects to focus on the following areas: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Established Pharmaceuticals — Abbott focuses on building country-specific portfolios made up of high-quality medicines that meet the needs of people in emerging markets. Over the next several years, Abbott plans to expand its product portfolio in key therapeutic areas and biosimilars with the aim of addressing the health needs of more people in emerging markets and to be among the first to launch new off-patent and differentiated medicines. In addition, Abbott continues to expand existing brands into new markets, implement product enhancements that provide value to patients, and acquire strategic products and technology through licensing activities. Abbott is also actively working on the further development of several key brands such as Creon™, Duphaston™, Femoston™, and Influvac™. Depending on the product, the activities focus on development of new data, markets, formulations, delivery systems, or indications.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Medical Devices — Abbott’s research and development programs focus on:</w:t>
      </w:r>
    </w:p>
    <w:p>
      <w:pPr>
        <w:spacing w:after="0" w:line="117" w:lineRule="exact"/>
        <w:rPr>
          <w:sz w:val="20"/>
          <w:szCs w:val="20"/>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Cardiac Rhythm Management – Development of next-generation rhythm management technologies, including advanced communication capabilities and leadless pacing therapies.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Heart Failure – Continued enhancements to Abbott’s mechanical circulatory support and pulmonary artery pressure systems, including enhanced clinical performance and usability.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Electrophysiology – Development of next-generation technologies in the areas of ablation, mapping and navigation, and diagnostics.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Vascular – Development of next-generation technologies for use in coronary and peripheral vascular procedures.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 Heart – Development of transcatheter and surgical devices for the repair and replacement of heart valves, and occlusion therapies for congenital heart defects and stroke-risk reduction.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Neuromodulation – Development of clinical evidence and next-generation technologies leveraging digital health to support improved patient clinical outcomes, physician engagement, and expanded indications in the treatment of chronic pain, movement disorders, and other indications.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Diabetes Care – Develop enhancements, additional indications, and tools for continuous monitoring products to help with the management of diabetes, as well as to expand use beyond diabetes.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Nutritionals — Abbott is focusing its research and development spend on platforms that span the pediatric and adult nutrition areas: gastrointestinal/immunity health, brain health, mobility and metabolism, and user experience platforms. Numerous new products that build on advances in these platforms are currently under development, including clinical outcome testing, and are expected to be launched over the coming years.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Diagnostics — Abbott continues to develop and commercialize next-generation blood and plasma screening systems and assays, as well as Core Laboratory immunoassay, clinical chemistry and hematology diagnostic systems and assays. Assay development pipelines include a focus on unmet medical needs, in various areas including infectious disease, cardiac care, metabolics, oncology, women’s health, and neurologic assays, as well as informatics solutions to help optimize diagnostic laboratory performance and automation solutions to increase efficiency in laboratories. Research and development programs also include development of rapid diagnostic products for infectious disease, cardiometabolic disease, and toxicology applications.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Given the diversity of Abbott’s business, its intention to remain a broad-based healthcare company and the numerous sources for potential future growth, no individual project is expected to be material to cash flows or results of operations over the next five years. Factors considered included research and development expenses projected to be incurred for the project over the next year relative to Abbott’s total research and development expenses, as well as qualitative factors, such as marketplace perceptions and impact of a new product on Abbott’s overall market position. There were no delays in Abbott’s 2025 research and development activities that are expected to have a material impact on operations.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the aggregate cost to complete the numerous projects currently in development is expected to be material, the total cost to complete will depend upon Abbott’s ability to successfully finish each project, the rate at which each project advances, and the ultimate timing for completion. Given the potential for significant delays and the risk of failure inherent in the development of new products and technologies, it is not possible to accurately estimate the total cost to complete all projects currently in development. Abbott plans to manage its portfolio of projects to achieve research and development spending that will be competitive in each of the businesses in which it participates, and such spending is targeted at approximately 7 percent of total Abbott sales in 2026. Abbott does not regularly accumulate or make management decisions based on the total expenses incurred for a particular development phase in a given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2025, goodwill recorded as a result of business combinations totaled $24.0 billion. Goodwill is reviewed for impairment annually in the third quarter or when an event that could result in an impairment occurs, using a quantitative assessment to determine whether it is more likely than not that the fair value of any reporting unit is less than its carrying amount. The income and market approaches are used to calculate the fair value of each reporting unit. The results of the last impairment test indicated that the fair value of each reporting unit was substantially in excess of its carrying value.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from operating activities amounted to $9.6 billion, $8.6 billion, and $7.3 billion in 2025, 2024, and 2023, respectively. The increase in Net cash from operating activities in 2025 as compared to 2024, and in 2024 compared to 2023, was primarily due to higher segment operating earnings and improved working capital management, partially offset by higher cash payments for income taxes.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substantial portion of Abbott’s cash and cash equivalents at December 31, 2025, is held by Abbott affiliates outside of the U.S. If these funds were needed for operations in the U.S., Abbott does not expect to incur significant additional income taxes in the future to repatriate these funds.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Abbott funded $309 million in 2025 and $349 million in both 2024 and 2023 to defined benefit pension plans. Abbott expects to contribute approximately $85 million to its pension plans in 2026. Abbott expects annual cash flow from operating activities to continue to exceed Abbott’s capital expenditures and cash dividends.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Capital</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2025, Abbott’s long-term debt rating was AA- by S&amp;P Global Ratings and Aa3 by Moody’s Investors Service. Abbott expects to maintain an investment grade rating.</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Abbott has readily available financial resources, including unused lines of credit that support commercial paper borrowing arrangements and provide Abbott with the ability to borrow up to $5 billion on an unsecured basis. In 2024, Abbott terminated its 2020 Five Year Credit Agreement (2020 Agreement) and entered into a new Five Year Credit Agreement (Revolving Credit Agreement). There were no outstanding borrowings under the 2020 Agreement at the time of its termination. Any borrowings under the Revolving Credit Agreement will mature and be payable on January 29, 2029, and will bear interest, at Abbott’s option, based on either a base rate or Secured Overnight Financing Rate (SOFR), plus an applicable margin based on Abbott’s credit ratings.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Abbott's total debt outstanding was $12.9 billion, of which approximately $3.0 billion will mature in 2026. In 2024, Abbott modified its existing, yen-denominated 5-year term loan scheduled to mature in November 2024. The amended terms included a net increase in principal debt from ¥59.8 billion to ¥92.0 billion, with a new maturity date in June 2029. The modified, 5-year term loan bears interest at the Tokyo Interbank Offered Rate (TIBOR) plus a fixed spread, and the interest rate is reset quarterly. The net proceeds equated to approximately $201 million. The ¥92.0 billion loan is designated as a hedge of Abbott’s net investment in certain foreign subsidiaries.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19, 2025, Abbott obtained a commitment for a 364-day senior unsecured bridge term loan facility for an amount not to exceed $20.0 billion in conjunction with its pending acquisition of Exact Sciences. While Abbott plans to fund this transaction with cash on hand and borrowings, the bridge facility will provide back-up financing.</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15, 2025, Abbott repaid the $500 million outstanding principal amount of its 3.875% Notes upon maturity. On March 17, 2025, Abbott repaid the $1.0 billion outstanding principal amount of its 2.95% Notes upon maturity. On November 19, 2024, Abbott repaid the €590 million outstanding principal amount of its 0.10% Notes upon maturity. The repayment equated to approximately $640 million. On November 30, 2023, Abbott repaid the $1.05 billion outstanding principal amount of its 3.40% Notes upon maturity. On September 27, 2023, Abbott repaid the €1.14 billion outstanding principal amount of its 0.875% Notes upon maturity. The repayment equated to approximately $1.2 billion. In September 2023, Abbott repaid approximately $197 million of debt assumed as part of a prior business acquisition.</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11, 2024, the board of directors authorized the repurchase of up to $7 billion of Abbott common shares, from time to time (the "2024 repurchase program"). The 2024 repurchase program was in addition to the unused portion of the 2021 repurchase program, which the board of directors approved in December 2021, and authorized the repurchase of up to $5 billion of Abbott’s common shares from time to time. In 2024 and 2023, Abbott repurchased 10.2 million and 9.8 million, respectively, of its common shares for $1.1 billion and $1.0 billion, respectively, under the 2021 repurchase program. In 2025, Abbott repurchased 4.8 million of its common shares for $604 million, which fully utilized the $293 million authorization remaining under the 2021 share repurchase program, and a portion of the 2024 repurchase program. As of December 31, 2025, $6.7 billion remains available for repurchase under the 2024 repurchase program.</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Abbott declared dividends of $2.40 per share in 2025 compared to $2.24 per share in 2024, an increase of 7.1 percent. Dividends paid were $4.1 billion in 2025 compared to $3.8 billion in 2024. The year-over-year change in dividends paid reflects the impact of the increase in the dividend rate.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Working capital was $9.5 billion at December 31, 2025, and December 31, 2024. Working capital remained unchanged from the prior year primarily as an increase in cash and cash equivalents and accounts receivable was offset by an increase in the current portion of long-term debt and other accrued liabilities. The increase in cash and cash equivalents from $7.6 billion at December 31, 2024, to $8.5 billion at December 31, 2025, primarily reflects the cash generated from operations, partially offset by the payment of dividends and capital expenditures.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Abbott monitors the credit worthiness of customers and establishes an allowance that reflects the current estimate of credit losses expected to be incurred over the life of the financial asset. Abbott considers various factors in establishing, monitoring, and adjusting its allowance for doubtful accounts, including the aging of the accounts and aging trends, the historical level of charge-offs, and specific exposures related to particular customers. Abbott also monitors other risk factors and forward-looking information, such as country risk, when determining credit limits for customers and establishing adequate allowances.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Capital expenditures of $2.2 billion in 2025, 2024, and 2023 were principally for upgrading and expanding manufacturing and research and development facilities and equipment in various segments, investments in information technology, and laboratory instruments placed with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Abbott believes that its available cash and cash equivalents along with its ability to generate operating cash flow and continued access to debt markets are sufficient to fund existing and planned cash requirements. Abbott's material cash requirements include the following contractual obligations:</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Principal payments required on long-term debt outstanding at December 31, 2025, are $3.0 billion in 2026, $700 million in 2027, $653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2028, $591 million in 2029, $650 million in 2030, and $7.4 billion in 2031 and thereafter. Interest payments required on long-term debt outstanding at December 31, 2025, are projected to be $485 million in 2026, $401 million in 2027, $395 million in 2028, $386 million in 2029, $377 million in 2030, and $4.3 billion in 2031 and thereafter.</w:t>
      </w:r>
    </w:p>
    <w:p>
      <w:pPr>
        <w:spacing w:after="0" w:line="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 As of December 31, 2025, estimated contractual obligations for operating lease payments were $1.4 billion, with $316 million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12 months.</w:t>
      </w:r>
    </w:p>
    <w:p>
      <w:pPr>
        <w:spacing w:after="0" w:line="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Abbott enters into purchase commitments in the normal course of business to meet operational and capital expenditure requirements. The majority of outstanding purchase commitments generally do not extend past one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Obligations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Abbott periodically acquires a business or product rights in which Abbott agrees to pay contingent consideration based on attaining certain thresholds or based on the occurrence of certain events.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Acquisitions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19, 2025, Abbott entered into a definitive agreement to acquire Exact Sciences Corporation (Exact Sciences), which is expected to enable Abbott to enter the cancer diagnostics market. The acquisition is subject to customary closing conditions, including the approval of Exact Sciences shareholders, and obtaining the required regulatory clearances. Under the terms of the agreement, Abbott will pay $105 per common share in cash at the completion of the transaction, representing a total equity value of approximately $21 billion and an estimated enterprise value of $23 billion. Abbott's financing contemplates absorption of Exact Sciences' estimated $1.8 billion of net debt.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19, 2025, Abbott obtained a commitment for a 364-day senior unsecured bridge term loan facility for an amount not to exceed $20.0 billion in conjunction with its pending acquisition of Exact Sciences. While Abbott plans to fund this transaction with cash on hand and borrowings, the bridge facility will provide back-up financing.</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22, 2023, Abbott completed the acquisition of Bigfoot, which furthers Abbott's efforts to develop connected solutions for making diabetes management more personal and precise. The purchase price, the final allocation of acquired assets and liabilities, and the revenue and net income contributed by Bigfoot since the date of acquisition are not material to Abbott's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27, 2023, Abbott completed the acquisition of Cardiovascular Systems, Inc. (CSI) for $20 per common share, which equated to a purchase price of $851 million. The transaction was funded with cash on hand and accounted for as a business combination. CSI's atherectomy system, which is used in treating peripheral and coronary artery disease, adds complementary technologies to Abbott's portfolio of vascular device offerings.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final allocation of the purchase price of the CSI acquisition resulted in the recording of two non-deductible developed technology intangible assets totaling $305 million; a non-deductible in-process research and development asset of $15 million, which will be accounted for as an indefinite-lived intangible asset until regulatory approval or discontinuation; non-deductible goodwill of $369 million; net deferred tax assets of $46 million and other net assets of $116 million. The goodwill is identifiable to the Medical Devices reportable segment and is attributable to expected synergies from combining operations, as well as intangible assets that do not qualify for separate recognition. Revenues and earnings of CSI included in Abbott's consolidated financial statements since the acquisition date are not material to Abbott's consolidated revenue and earnings.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Issues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Abbott’s primary markets are highly competitive and subject to substantial government regulations throughout the world. Abbott expects debate to continue at all government levels worldwide over the manufacture, quality assurance requirements, marketing authorization processes, post-market surveillance requirements, availability, method of delivery, and payment for healthcare products and services, as well as data privacy and security. It is not possible to predict the extent to which Abbott or the healthcare industry in general might be adversely affected by these factors in the future. A more complete discussion of these factors is contained in Item 1, Business, and Item 1A, Risk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requires an entity to disclose annually additional information related to the company's income tax rate reconciliation and income taxes paid during the period. The guidance is required to be applied prospectively with the option to apply the standard retrospectively. Abbott adopted the standard on January 1, 2025, and applied the guidance prospectively. The new standard did not have an impact on Abbott's consolidated financial statements, but required additional disclosures, as presented in Note 15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Taxes on Earnings.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expands the breadth and frequency of required segment disclosures. The guidance is required to be applied retrospectively to all periods presented in the financial statements. Abbott adopted the standard on January 1, 2024. The new standard did not have an impact on Abbott's consolidated financial statements, but required additional disclosures, retrospectively applied to all periods presented in Note 16 — Segment and Geographic Area Information.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Not Yet Adopted</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(Subtopic 220-40):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requires an entity to disclose on an annual and interim basis, disaggregated information about specific income statement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The guidance should be applied prospectively with the option to apply the standard retrospectively. The standard becomes effective for Abbott for full year 2027 reporting. Abbott is currently evaluating the impact of this new standard on its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Securities Litigation Reform Act of 1995 — A Caution Concerning Forward-Looking Statements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safe harbor provisions of the Private Securities Litigation Reform Act of 1995, Abbott cautions investors that any forward-looking statements or projections made by Abbott, including those made in this document, are subject to risks and uncertainties that may cause actual results to differ materially from those projected. Economic, competitive, governmental, technological, and other factors that may affect Abbott’s operations are discussed in Item 1A, Risk Factors.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Financial Instruments and Risk Management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Price Sensitive Investments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equity securities held by Abbott with a readily determinable fair value was approximately $20 million and $10 million as of December 31, 2025, and 2024, respectively. These equity securities are subject to potential changes in fair value. A hypothetical 20 percent decrease in the share prices of these investments would decrease their fair value at December 31, 2025, by approximately $4 million. Changes in the fair value of these securities are recorded in earnings. The fair value of investments in mutual funds that are held in a rabbi trust for the purpose of paying benefits under a deferred compensation plan was $323 million and $313 million as of December 31, 2025, and 2024, respectively. Changes in the fair value of these investments, as well as an offsetting change in the benefit obligation, are recorded in earnings.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Non-Publicly Traded Equity Securities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Abbott holds equity securities that are not traded on public stock exchanges. The carrying value of these investments was $124 million and $91 million as of December 31, 2025, and 2024, respectively. No individual investment is recorded at a value in excess of $25 million. Abbott measures these investments at cost minus impairment, if any, plus or minus changes resulting from observable price changes in orderly transactions for the identical or a similar investment of the same issuer.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Sensitive Financial Instruments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2025, and 2024, Abbott had interest rate hedge contracts with notional values totaling $1.2 billion and $2.2 billion, respectively, to manage its exposure to changes in the fair value of debt. The effect of these hedges is to change the fixed interest rate to a variable rate for the portion of the debt that is hedged. Abbott does not use derivative financial instruments, such as interest rate swaps, to manage its exposure to changes in interest rates for its investment securities. The fair value of long-term debt at December 31, 2025, and 2024, amounted to $12.8 billion and $13.7 billion, respectively (average interest rates of 3.8% as of December 31, 2025, and 2024, respectively) with maturities through 2046. At December 31, 2025, and 2024, the fair value of current and long-term investment securities amounted to $1.3 billion and $1.2 billion, respectively. A hypothetical 100-basis point change in the interest rates would not have a material effect on cash flows, income, or fair values.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Sensitive Financial Instruments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Abbott foreign subsidiaries enter into foreign currency forward exchange contracts to manage exposures to changes in foreign exchange rates for anticipated intercompany purchases by those subsidiaries whose functional currencies are not the U.S. dollar. These contracts are designated as cash flow hedges of the variability of the cash flows due to changes in foreign currency exchange rates and are marked-to-market with the resulting gains or losses reflected in Accumulated other comprehensive income (loss). Gains or losses will be included in Cost of products sold at the time the products are sold, generally within the next twelve to eighteen months. At December 31, 2025, and 2024, Abbott held $7.4 billion and $7.0 billion of notional values, respectively, of such contracts. Contracts held at December 31, 2025, will mature in 2026 or 2027 depending on the contract. Contracts held at December 31, 2024, matured in 2025 or will mature in 2026 depending upon the contract.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Abbott enters into foreign currency forward exchange contracts to manage its exposure to foreign currency denominated intercompany loans and trade payables and third-party trade payables and receivables. The contracts are marked-to-market, and resulting gains or losses are reflected in income and are generally offset by losses or gains on the foreign currency exposure being managed. At December 31, 2025, and 2024, Abbott held $13.1 billion and $16.2 billion of notional values, respectively, of such contracts, which mature within 13 months.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Abbott has designated a yen-denominated, 5-year term loan of $589 million and $583 million as of December 31, 2025, and December 31, 2024, respectively, as a hedge of the net investment in certain foreign subsidiaries. The change in the value of the debt is due to changes in foreign exchange rates, recorded in Accumulated other comprehensive income (loss), net of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total foreign currency forward exchange contracts outstanding at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gridSpan w:val="2"/>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Fair and</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Fair and</w:t>
            </w:r>
          </w:p>
        </w:tc>
        <w:tc>
          <w:tcPr>
            <w:tcW w:w="0" w:type="dxa"/>
            <w:vAlign w:val="bottom"/>
          </w:tcPr>
          <w:p>
            <w:pPr>
              <w:spacing w:after="0"/>
              <w:rPr>
                <w:sz w:val="1"/>
                <w:szCs w:val="1"/>
                <w:color w:val="auto"/>
              </w:rPr>
            </w:pPr>
          </w:p>
        </w:tc>
      </w:tr>
      <w:tr>
        <w:trPr>
          <w:trHeight w:val="146"/>
        </w:trPr>
        <w:tc>
          <w:tcPr>
            <w:tcW w:w="3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00" w:type="dxa"/>
            <w:vAlign w:val="bottom"/>
          </w:tcPr>
          <w:p>
            <w:pPr>
              <w:spacing w:after="0"/>
              <w:rPr>
                <w:sz w:val="12"/>
                <w:szCs w:val="12"/>
                <w:color w:val="auto"/>
              </w:rPr>
            </w:pPr>
          </w:p>
        </w:tc>
        <w:tc>
          <w:tcPr>
            <w:tcW w:w="12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4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180" w:type="dxa"/>
            <w:vAlign w:val="bottom"/>
          </w:tcPr>
          <w:p>
            <w:pPr>
              <w:spacing w:after="0"/>
              <w:rPr>
                <w:sz w:val="12"/>
                <w:szCs w:val="12"/>
                <w:color w:val="auto"/>
              </w:rPr>
            </w:pPr>
          </w:p>
        </w:tc>
        <w:tc>
          <w:tcPr>
            <w:tcW w:w="94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0" w:type="dxa"/>
            <w:vAlign w:val="bottom"/>
          </w:tcPr>
          <w:p>
            <w:pPr>
              <w:spacing w:after="0"/>
              <w:rPr>
                <w:sz w:val="1"/>
                <w:szCs w:val="1"/>
                <w:color w:val="auto"/>
              </w:rPr>
            </w:pPr>
          </w:p>
        </w:tc>
      </w:tr>
      <w:tr>
        <w:trPr>
          <w:trHeight w:val="149"/>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60" w:type="dxa"/>
            <w:vAlign w:val="bottom"/>
          </w:tcPr>
          <w:p>
            <w:pPr>
              <w:spacing w:after="0"/>
              <w:rPr>
                <w:sz w:val="12"/>
                <w:szCs w:val="12"/>
                <w:color w:val="auto"/>
              </w:rPr>
            </w:pPr>
          </w:p>
        </w:tc>
        <w:tc>
          <w:tcPr>
            <w:tcW w:w="98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0" w:type="dxa"/>
            <w:vAlign w:val="bottom"/>
          </w:tcPr>
          <w:p>
            <w:pPr>
              <w:spacing w:after="0"/>
              <w:rPr>
                <w:sz w:val="1"/>
                <w:szCs w:val="1"/>
                <w:color w:val="auto"/>
              </w:rPr>
            </w:pPr>
          </w:p>
        </w:tc>
      </w:tr>
      <w:tr>
        <w:trPr>
          <w:trHeight w:val="198"/>
        </w:trPr>
        <w:tc>
          <w:tcPr>
            <w:tcW w:w="39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(Payable)</w:t>
            </w:r>
          </w:p>
        </w:tc>
        <w:tc>
          <w:tcPr>
            <w:tcW w:w="180" w:type="dxa"/>
            <w:vAlign w:val="bottom"/>
          </w:tcPr>
          <w:p>
            <w:pPr>
              <w:spacing w:after="0"/>
              <w:rPr>
                <w:sz w:val="17"/>
                <w:szCs w:val="17"/>
                <w:color w:val="auto"/>
              </w:rPr>
            </w:pPr>
          </w:p>
        </w:tc>
        <w:tc>
          <w:tcPr>
            <w:tcW w:w="9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60" w:type="dxa"/>
            <w:vAlign w:val="bottom"/>
          </w:tcPr>
          <w:p>
            <w:pPr>
              <w:spacing w:after="0"/>
              <w:rPr>
                <w:sz w:val="17"/>
                <w:szCs w:val="17"/>
                <w:color w:val="auto"/>
              </w:rPr>
            </w:pPr>
          </w:p>
        </w:tc>
        <w:tc>
          <w:tcPr>
            <w:tcW w:w="9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(Payable)</w:t>
            </w:r>
          </w:p>
        </w:tc>
        <w:tc>
          <w:tcPr>
            <w:tcW w:w="0" w:type="dxa"/>
            <w:vAlign w:val="bottom"/>
          </w:tcPr>
          <w:p>
            <w:pPr>
              <w:spacing w:after="0"/>
              <w:rPr>
                <w:sz w:val="1"/>
                <w:szCs w:val="1"/>
                <w:color w:val="auto"/>
              </w:rPr>
            </w:pPr>
          </w:p>
        </w:tc>
      </w:tr>
      <w:tr>
        <w:trPr>
          <w:trHeight w:val="174"/>
        </w:trPr>
        <w:tc>
          <w:tcPr>
            <w:tcW w:w="386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Primarily U.S. dollars to be exchanged for the</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following currencies: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9,137</w:t>
            </w:r>
          </w:p>
        </w:tc>
        <w:tc>
          <w:tcPr>
            <w:tcW w:w="12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1.1604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10,954</w:t>
            </w:r>
          </w:p>
        </w:tc>
        <w:tc>
          <w:tcPr>
            <w:tcW w:w="12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1.0848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Chinese Yuan</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2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7.0843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2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7.1132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2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149.5687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2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149.1298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currencies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40" w:type="dxa"/>
            <w:vAlign w:val="bottom"/>
            <w:gridSpan w:val="2"/>
            <w:vMerge w:val="restart"/>
          </w:tcPr>
          <w:p>
            <w:pPr>
              <w:jc w:val="right"/>
              <w:ind w:right="524"/>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99"/>
              </w:rPr>
              <w:t>Consolidated Statement of Earnings</w:t>
            </w:r>
          </w:p>
        </w:tc>
        <w:tc>
          <w:tcPr>
            <w:tcW w:w="2900" w:type="dxa"/>
            <w:vAlign w:val="bottom"/>
            <w:gridSpan w:val="7"/>
            <w:vMerge w:val="restart"/>
          </w:tcPr>
          <w:p>
            <w:pPr>
              <w:spacing w:after="0"/>
              <w:rPr>
                <w:sz w:val="2"/>
                <w:szCs w:val="2"/>
                <w:color w:val="auto"/>
              </w:rPr>
            </w:pPr>
          </w:p>
        </w:tc>
        <w:tc>
          <w:tcPr>
            <w:tcW w:w="5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2600" w:type="dxa"/>
            <w:vAlign w:val="bottom"/>
            <w:tcBorders>
              <w:bottom w:val="single" w:sz="8" w:color="0000FF"/>
            </w:tcBorders>
            <w:gridSpan w:val="2"/>
            <w:vMerge w:val="continue"/>
          </w:tcPr>
          <w:p>
            <w:pPr>
              <w:spacing w:after="0"/>
              <w:rPr>
                <w:sz w:val="15"/>
                <w:szCs w:val="15"/>
                <w:color w:val="auto"/>
              </w:rPr>
            </w:pPr>
          </w:p>
        </w:tc>
        <w:tc>
          <w:tcPr>
            <w:tcW w:w="2900" w:type="dxa"/>
            <w:vAlign w:val="bottom"/>
            <w:gridSpan w:val="7"/>
            <w:vMerge w:val="continue"/>
          </w:tcPr>
          <w:p>
            <w:pPr>
              <w:spacing w:after="0"/>
              <w:rPr>
                <w:sz w:val="15"/>
                <w:szCs w:val="15"/>
                <w:color w:val="auto"/>
              </w:rPr>
            </w:pPr>
          </w:p>
        </w:tc>
        <w:tc>
          <w:tcPr>
            <w:tcW w:w="4900" w:type="dxa"/>
            <w:vAlign w:val="bottom"/>
          </w:tcPr>
          <w:p>
            <w:pPr>
              <w:spacing w:after="0"/>
              <w:rPr>
                <w:sz w:val="15"/>
                <w:szCs w:val="15"/>
                <w:color w:val="auto"/>
              </w:rPr>
            </w:pPr>
          </w:p>
        </w:tc>
        <w:tc>
          <w:tcPr>
            <w:tcW w:w="82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 of Comprehensive Income</w:t>
            </w:r>
          </w:p>
        </w:tc>
        <w:tc>
          <w:tcPr>
            <w:tcW w:w="1820" w:type="dxa"/>
            <w:vAlign w:val="bottom"/>
            <w:gridSpan w:val="4"/>
          </w:tcPr>
          <w:p>
            <w:pPr>
              <w:spacing w:after="0"/>
              <w:rPr>
                <w:sz w:val="18"/>
                <w:szCs w:val="18"/>
                <w:color w:val="auto"/>
              </w:rPr>
            </w:pPr>
          </w:p>
        </w:tc>
        <w:tc>
          <w:tcPr>
            <w:tcW w:w="5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 of Cash Flows</w:t>
            </w:r>
          </w:p>
        </w:tc>
        <w:tc>
          <w:tcPr>
            <w:tcW w:w="5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Consolidated Balance Sheet</w:t>
            </w:r>
          </w:p>
        </w:tc>
        <w:tc>
          <w:tcPr>
            <w:tcW w:w="2700" w:type="dxa"/>
            <w:vAlign w:val="bottom"/>
            <w:gridSpan w:val="6"/>
          </w:tcPr>
          <w:p>
            <w:pPr>
              <w:spacing w:after="0"/>
              <w:rPr>
                <w:sz w:val="18"/>
                <w:szCs w:val="18"/>
                <w:color w:val="auto"/>
              </w:rPr>
            </w:pPr>
          </w:p>
        </w:tc>
        <w:tc>
          <w:tcPr>
            <w:tcW w:w="5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 of Shareholders’ Investment</w:t>
            </w:r>
          </w:p>
        </w:tc>
        <w:tc>
          <w:tcPr>
            <w:tcW w:w="5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40" w:type="dxa"/>
            <w:vAlign w:val="bottom"/>
            <w:tcBorders>
              <w:top w:val="single" w:sz="8" w:color="0000FF"/>
            </w:tcBorders>
            <w:gridSpan w:val="2"/>
          </w:tcPr>
          <w:p>
            <w:pPr>
              <w:spacing w:after="0"/>
              <w:rPr>
                <w:sz w:val="18"/>
                <w:szCs w:val="18"/>
                <w:color w:val="auto"/>
              </w:rPr>
            </w:pPr>
          </w:p>
        </w:tc>
        <w:tc>
          <w:tcPr>
            <w:tcW w:w="1700" w:type="dxa"/>
            <w:vAlign w:val="bottom"/>
            <w:gridSpan w:val="3"/>
          </w:tcPr>
          <w:p>
            <w:pPr>
              <w:spacing w:after="0"/>
              <w:rPr>
                <w:sz w:val="18"/>
                <w:szCs w:val="18"/>
                <w:color w:val="auto"/>
              </w:rPr>
            </w:pPr>
          </w:p>
        </w:tc>
        <w:tc>
          <w:tcPr>
            <w:tcW w:w="5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Management Report on Internal Control Over Financial Reporting</w:t>
            </w:r>
          </w:p>
        </w:tc>
        <w:tc>
          <w:tcPr>
            <w:tcW w:w="5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gridSpan w:val="7"/>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 xml:space="preserve">Report of Independent Registered Public Accounting Firm </w:t>
            </w:r>
            <w:r>
              <w:rPr>
                <w:rFonts w:ascii="Times New Roman" w:cs="Times New Roman" w:eastAsia="Times New Roman" w:hAnsi="Times New Roman"/>
                <w:sz w:val="18"/>
                <w:szCs w:val="18"/>
                <w:color w:val="000000"/>
                <w:w w:val="99"/>
              </w:rPr>
              <w:t>(PCAOB ID: 42)</w:t>
            </w:r>
          </w:p>
        </w:tc>
        <w:tc>
          <w:tcPr>
            <w:tcW w:w="5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gridSpan w:val="7"/>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5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20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900" w:type="dxa"/>
            <w:vAlign w:val="bottom"/>
          </w:tcPr>
          <w:p>
            <w:pPr>
              <w:jc w:val="right"/>
              <w:ind w:right="4610"/>
              <w:spacing w:after="0"/>
              <w:rPr>
                <w:sz w:val="20"/>
                <w:szCs w:val="20"/>
                <w:color w:val="auto"/>
              </w:rPr>
            </w:pPr>
            <w:r>
              <w:rPr>
                <w:rFonts w:ascii="Times New Roman" w:cs="Times New Roman" w:eastAsia="Times New Roman" w:hAnsi="Times New Roman"/>
                <w:sz w:val="18"/>
                <w:szCs w:val="18"/>
                <w:color w:val="auto"/>
                <w:w w:val="99"/>
              </w:rPr>
              <w:t>40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Earnings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44,328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40,109</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sold, excluding amortization of intangible assets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19,319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17,975</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12,332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10,949</w:t>
            </w:r>
          </w:p>
        </w:tc>
      </w:tr>
      <w:tr>
        <w:trPr>
          <w:trHeight w:val="22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Cost and Expenses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36,275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33,631</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Earnings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foreign exchange (gain) loss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Taxes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6,664</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on Earnings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9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5,723</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6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242424"/>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3.73</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56"/>
        </w:trPr>
        <w:tc>
          <w:tcPr>
            <w:tcW w:w="66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57"/>
        </w:trPr>
        <w:tc>
          <w:tcPr>
            <w:tcW w:w="66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175"/>
        </w:trPr>
        <w:tc>
          <w:tcPr>
            <w:tcW w:w="6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Average Number of Common Shares Outstanding Used for Basic Earnings Per Common</w:t>
            </w: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Common Stock Options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Number of Common Shares Outstanding Plus Dilutive Common Stock Options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Common Stock Options Having No Dilutive Effect</w:t>
            </w:r>
          </w:p>
        </w:tc>
        <w:tc>
          <w:tcPr>
            <w:tcW w:w="9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33"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33655</wp:posOffset>
            </wp:positionV>
            <wp:extent cx="29489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35" w:lineRule="exact"/>
        <w:rPr>
          <w:sz w:val="20"/>
          <w:szCs w:val="20"/>
          <w:color w:val="auto"/>
        </w:rPr>
      </w:pPr>
    </w:p>
    <w:p>
      <w:pPr>
        <w:jc w:val="both"/>
        <w:ind w:left="7200"/>
        <w:spacing w:after="0"/>
        <w:tabs>
          <w:tab w:leader="none" w:pos="8760" w:val="left"/>
          <w:tab w:leader="none" w:pos="103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1" w:lineRule="exact"/>
        <w:rPr>
          <w:sz w:val="20"/>
          <w:szCs w:val="20"/>
          <w:color w:val="auto"/>
        </w:rPr>
      </w:pPr>
    </w:p>
    <w:p>
      <w:pPr>
        <w:ind w:left="20"/>
        <w:spacing w:after="0"/>
        <w:tabs>
          <w:tab w:leader="none" w:pos="6600" w:val="left"/>
        </w:tabs>
        <w:rPr>
          <w:sz w:val="20"/>
          <w:szCs w:val="20"/>
          <w:color w:val="auto"/>
        </w:rPr>
      </w:pPr>
      <w:r>
        <w:rPr>
          <w:rFonts w:ascii="Times New Roman" w:cs="Times New Roman" w:eastAsia="Times New Roman" w:hAnsi="Times New Roman"/>
          <w:sz w:val="18"/>
          <w:szCs w:val="18"/>
          <w:color w:val="auto"/>
        </w:rPr>
        <w:t>Net Earnings</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ind w:left="20" w:right="320"/>
        <w:spacing w:after="0" w:line="234" w:lineRule="auto"/>
        <w:rPr>
          <w:sz w:val="20"/>
          <w:szCs w:val="20"/>
          <w:color w:val="auto"/>
        </w:rPr>
      </w:pPr>
      <w:r>
        <w:rPr>
          <w:rFonts w:ascii="Times New Roman" w:cs="Times New Roman" w:eastAsia="Times New Roman" w:hAnsi="Times New Roman"/>
          <w:sz w:val="18"/>
          <w:szCs w:val="18"/>
          <w:color w:val="auto"/>
        </w:rPr>
        <w:t>Foreign currency translation gain (loss) adjustments, net of taxes of $62 in 2025 and $— in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4457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actuarial gains (losses) and prior service cost and credits and amortization of net</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actuarial losses and prior service cost and credits, net of taxes of $149 in 2025, $228 in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2024, and $31 in 2023</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gains (losses) on derivative instruments designated as cash flow hedges, net of taxes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of $(60) in 2025, $48 in 2024, and $(66) in 2023</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6,524</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13,402</w:t>
            </w:r>
          </w:p>
        </w:tc>
        <w:tc>
          <w:tcPr>
            <w:tcW w:w="10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5,723</w:t>
            </w:r>
          </w:p>
        </w:tc>
      </w:tr>
      <w:tr>
        <w:trPr>
          <w:trHeight w:val="399"/>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1,574</w:t>
            </w:r>
          </w:p>
        </w:tc>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702"/>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610</w:t>
            </w:r>
          </w:p>
        </w:tc>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484"/>
        </w:trPr>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-1018540</wp:posOffset>
            </wp:positionV>
            <wp:extent cx="9429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880" w:space="720"/>
            <w:col w:w="36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5,935</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175"/>
        </w:trPr>
        <w:tc>
          <w:tcPr>
            <w:tcW w:w="6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Supplemental Accumulated Other Comprehensive Income (Loss) Information, net of tax</w:t>
            </w: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of December 31:</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foreign currency translation (loss) adjustments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actuarial (losses) and prior service (cost) and credits</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gains (losses) on derivative instruments designated as cash flow hedges</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(7,906)</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(7,839)</w:t>
            </w:r>
          </w:p>
        </w:tc>
      </w:tr>
      <w:tr>
        <w:trPr>
          <w:trHeight w:val="21"/>
        </w:trPr>
        <w:tc>
          <w:tcPr>
            <w:tcW w:w="6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242424"/>
              </w:rPr>
              <w:t>Cash Flow From (Used in) Operating Activities:</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94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6,524</w:t>
            </w:r>
          </w:p>
        </w:tc>
        <w:tc>
          <w:tcPr>
            <w:tcW w:w="4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5,723</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earnings to net cash from operating activities —</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and financing losses, net</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receivables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accounts payable and other liabilities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r>
      <w:tr>
        <w:trPr>
          <w:trHeight w:val="21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w:t>
            </w: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From Operating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7,261</w:t>
            </w:r>
          </w:p>
        </w:tc>
      </w:tr>
      <w:tr>
        <w:trPr>
          <w:trHeight w:val="145"/>
        </w:trPr>
        <w:tc>
          <w:tcPr>
            <w:tcW w:w="6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242424"/>
              </w:rPr>
              <w:t>Cash Flow From (Used in) Investing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Acquisitions of businesses and technologies, net of cash acquired</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business dispositions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investment securities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sales of investment securities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7"/>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From (Used in) Investing Activities</w:t>
            </w: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(3,133)</w:t>
            </w:r>
          </w:p>
        </w:tc>
      </w:tr>
      <w:tr>
        <w:trPr>
          <w:trHeight w:val="145"/>
        </w:trPr>
        <w:tc>
          <w:tcPr>
            <w:tcW w:w="66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 From (Used in) Financing Activities: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(repayments of) short-term debt, net and other</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long-term debt and debt with maturities over 3 months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long-term debt and debt with maturities over 3 months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common shares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stock options exercised</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(3,556)</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From (Used in) Financing Activities</w:t>
            </w:r>
          </w:p>
        </w:tc>
        <w:tc>
          <w:tcPr>
            <w:tcW w:w="9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(6,309)</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(5,404)</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(7,091)</w:t>
            </w:r>
          </w:p>
        </w:tc>
      </w:tr>
      <w:tr>
        <w:trPr>
          <w:trHeight w:val="145"/>
        </w:trPr>
        <w:tc>
          <w:tcPr>
            <w:tcW w:w="66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21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w:t>
            </w:r>
          </w:p>
        </w:tc>
      </w:tr>
      <w:tr>
        <w:trPr>
          <w:trHeight w:val="21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9,882</w:t>
            </w: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Year</w:t>
            </w: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6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paid</w:t>
            </w:r>
          </w:p>
        </w:tc>
        <w:tc>
          <w:tcPr>
            <w:tcW w:w="94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4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primarily bank time deposits and U.S. treasury bills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 less allowances of — 2025: $490; 2024: $439</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Finished products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Work in process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Materials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inventories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6,194</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prepaid expenses and receivables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r>
      <w:tr>
        <w:trPr>
          <w:trHeight w:val="25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25,996</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23,656</w:t>
            </w: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Buildings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w:t>
            </w: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w:t>
            </w: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w:t>
            </w:r>
          </w:p>
        </w:tc>
      </w:tr>
      <w:tr>
        <w:trPr>
          <w:trHeight w:val="257"/>
        </w:trPr>
        <w:tc>
          <w:tcPr>
            <w:tcW w:w="8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22,740</w:t>
            </w:r>
          </w:p>
        </w:tc>
      </w:tr>
      <w:tr>
        <w:trPr>
          <w:trHeight w:val="250"/>
        </w:trPr>
        <w:tc>
          <w:tcPr>
            <w:tcW w:w="8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12,082</w:t>
            </w:r>
          </w:p>
        </w:tc>
      </w:tr>
      <w:tr>
        <w:trPr>
          <w:trHeight w:val="25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11,816</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10,658</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 of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23,108</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assets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18,422</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16,459</w:t>
            </w:r>
          </w:p>
        </w:tc>
      </w:tr>
      <w:tr>
        <w:trPr>
          <w:trHeight w:val="275"/>
        </w:trPr>
        <w:tc>
          <w:tcPr>
            <w:tcW w:w="81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16"/>
                <w:szCs w:val="16"/>
                <w:color w:val="auto"/>
              </w:rPr>
            </w:pPr>
          </w:p>
        </w:tc>
      </w:tr>
      <w:tr>
        <w:trPr>
          <w:trHeight w:val="23"/>
        </w:trPr>
        <w:tc>
          <w:tcPr>
            <w:tcW w:w="8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Shareholders’ Investment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Salaries, wages, and commissions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payable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14,157</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12,625</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Post-employment obligations and other long-term liabilities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investment: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shares, one dollar par value Authorized — 1,000,000 shares, none issued</w:t>
            </w:r>
          </w:p>
        </w:tc>
        <w:tc>
          <w:tcPr>
            <w:tcW w:w="3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81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shares, without par value Authorized — 2,400,000,000 shares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34"/>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at stated capital amount — Shares: 2025: 1,996,795,525; 2024: 1,991,472,630</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25,153</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held in treasury, at cost — Shares: 2025: 260,196,074; 2024: 259,774,639</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(16,844)</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employed in the business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47,261</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(7,906)</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Abbott Shareholders’ Investment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47,664</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 in subsidiaries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Investment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47,901</w:t>
            </w:r>
          </w:p>
        </w:tc>
      </w:tr>
      <w:tr>
        <w:trPr>
          <w:trHeight w:val="223"/>
        </w:trPr>
        <w:tc>
          <w:tcPr>
            <w:tcW w:w="8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86,713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81,414</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Investment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shares and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42424"/>
              </w:rPr>
              <w:t>Shares: 2025: 1,991,472,630; 2024: 1,987,883,852; 2023: 1,986,519,278</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42424"/>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25,153</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24,709</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242424"/>
              </w:rPr>
              <w:t>Issued under incentive stock programs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42424"/>
              </w:rPr>
              <w:t>Shares: 2025: 5,322,895; 2024: 3,588,778; 2023: 1,364,574</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242424"/>
              </w:rPr>
              <w:t>Share-based compensation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664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42424"/>
              </w:rPr>
              <w:t>Issuance of restricted stock awards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(585)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242424"/>
              </w:rPr>
              <w:t>End of Year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42424"/>
              </w:rPr>
              <w:t>Shares: 2025: 1,996,795,525; 2024: 1,991,472,630; 2023: 1,987,883,852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42424"/>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25,527</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42424"/>
              </w:rPr>
              <w:t>Common Shares Held in Treasury: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242424"/>
              </w:rPr>
              <w:t>Beginning of Year</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42424"/>
              </w:rPr>
              <w:t>Shares: 2025: 259,774,639; 2024: 253,807,494; 2023: 248,724,257</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42424"/>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(16,844)</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(15,229)</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242424"/>
              </w:rPr>
              <w:t>Issued under incentive stock programs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42424"/>
              </w:rPr>
              <w:t>Shares: 2025: 4,530,646; 2024: 4,423,897; 2023: 4,881,031</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296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242424"/>
              </w:rPr>
              <w:t>Purchased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42424"/>
              </w:rPr>
              <w:t>Shares: 2025: 4,952,081; 2024: 10,391,042; 2023: 9,964,268</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(629)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242424"/>
              </w:rPr>
              <w:t>End of Year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42424"/>
              </w:rPr>
              <w:t>Shares: 2025: 260,196,074; 2024: 259,774,639; 2023: 253,807,494</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42424"/>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(17,177)</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42424"/>
              </w:rPr>
              <w:t>Earnings Employed in the Business: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242424"/>
              </w:rPr>
              <w:t>Beginning of Year</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242424"/>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47,261</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35,257</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42424"/>
              </w:rPr>
              <w:t>Net earnings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6,524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w:t>
            </w:r>
          </w:p>
        </w:tc>
      </w:tr>
      <w:tr>
        <w:trPr>
          <w:trHeight w:val="175"/>
        </w:trPr>
        <w:tc>
          <w:tcPr>
            <w:tcW w:w="6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242424"/>
              </w:rPr>
              <w:t>Cash dividends declared on common shares (per share — 2025: $2.40; 2024: $2.24; 2023:</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242424"/>
              </w:rPr>
              <w:t>$2.08)</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(4,189)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common and treasury share transactions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185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242424"/>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49,781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47,261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37,554</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42424"/>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(7,906)</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w:t>
            </w: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1,905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42424"/>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(6,001)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 in Subsidiaries: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242424"/>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237</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to noncontrolling ownership interest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387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 share of income, net of distributions and share repurchases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42424"/>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NATURE OF BUSINESS — Abbott’s principal business is the discovery, development, manufacture, and sale of a broad line of healthcare products.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BASIS OF CONSOLIDATION — The consolidated financial statements include the accounts of the parent company, subsidiaries, and any variable interest entities for which Abbott is the primary beneficiary. Intercompany transactions are eliminated in consolidation. Investments in affiliates over which Abbott has a significant influence, but not a controlling interest, are accounted for using the equity method of accounting.</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USE OF ESTIMATES — The consolidated financial statements have been prepared in accordance with generally accepted accounting principles in the United States (U.S.) and necessarily include amounts based on estimates and assumptions by management. Actual results could differ from those amounts. Significant estimates include amounts for sales rebates, income taxes, pension and other post-employment benefits, valuation of intangible assets, litigation, derivative financial instruments, and inventory and accounts receivable exposures.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FOREIGN CURRENCY TRANSLATION — The statements of earnings of foreign subsidiaries whose functional currencies are other than the U.S. dollar are translated into U.S. dollars using average exchange rates for the period. The net assets of foreign subsidiaries whose functional currencies are other than the U.S. dollar are translated into U.S. dollars using exchange rates as of the balance sheet date. The U.S. dollar effects that arise from translating the net assets of these subsidiaries at changing rates are recorded in the foreign currency translation adjustment account, which is included in equity as a component of Accumulated other comprehensive income (loss). Transaction gains and losses are recorded on the Net foreign exchange (gain) loss line of the Consolidated Statement of Earnings.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RECOGNITION — Revenue from product sales is recognized upon the transfer of control, which is generally upon shipment or delivery, depending on the delivery terms set forth in the customer contract. Provisions for discounts, rebates, and sales incentives to customers, returns, and other adjustments are provided for in the period the related sales are recorded. Sales incentives to customers are not material. Historical data is readily available and reliable and is used for estimating the amount of the reduction in gross sales. Revenue from the launch of a new product, from an improved version of an existing product, or for shipments in excess of a customer’s normal requirements are recorded when the conditions noted above are met. In those situations, management records a returns reserve for such revenue, if necessary. In certain Abbott businesses, primarily within diagnostics, Abbott participates in selling arrangements that include multiple performance obligations (e.g., instruments, reagents, procedures, and service agreements). The total transaction price of the contract is allocated to each performance obligation in an amount based on the estimated relative standalone selling prices of the promised goods or services underlying each performance obligation.</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TAXES — Deferred income taxes are provided for the tax effect of differences between the tax bases of assets and liabilities and their reported amounts in the financial statements at the enacted statutory rate to be in effect when the taxes are paid. No additional income taxes have been provided for any remaining undistributed foreign earnings not subject to the transition tax related to the U.S. Tax Cuts and Jobs Act (TCJA), or any additional outside basis differences that exist, as these amounts continue to be indefinitely reinvested in foreign operations. The TCJA subjects taxpayers to tax on global intangible low-taxed income (GILTI) earned by certain foreign subsidiaries. Abbott treats the GILTI tax as a period expense and provides for the tax in the year that the tax is incurred. Interest and penalties on income tax obligations are included in taxes on earnings.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EARNINGS PER SHARE — Unvested restricted stock units and awards that contain non-forfeitable rights to dividends are treated as participating securities and are included in the computation of earnings per share under the two-class method. Under the two-class method, net earnings are allocated between common shares and participating securities. Net earnings allocated to common shares in 2025, 2024, and 2023 were $6.5 billion, $13.4 billion, and $5.7 billion, respectively.</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PENSION AND POST-EMPLOYMENT BENEFITS — Abbott accrues for the actuarially determined cost of pension and post-employment benefits over the service attribution periods of the employees. Abbott must develop long-term assumptions, the most significant of which are the healthcare cost trend rates, discount rates, and the expected return on plan assets. Differences between the expected long-term return on plan assets and the actual return are amortized over a five-year period. Actuarial losses and gains are amortized over the remaining service attribution periods of the employees under the corridor method.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 (Continued)</w:t>
      </w:r>
    </w:p>
    <w:p>
      <w:pPr>
        <w:spacing w:after="0" w:line="200" w:lineRule="exact"/>
        <w:rPr>
          <w:sz w:val="20"/>
          <w:szCs w:val="20"/>
          <w:color w:val="auto"/>
        </w:rPr>
      </w:pPr>
    </w:p>
    <w:p>
      <w:pPr>
        <w:spacing w:after="0" w:line="3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FAIR VALUE MEASUREMENTS — For assets and liabilities that are measured using quoted prices in active markets, total fair value is the published market price per unit multiplied by the number of units held without consideration of transaction costs. Assets and liabilities that are measured using significant other observable inputs are valued by reference to similar assets or liabilities, adjusted for contract restrictions and other terms specific to that asset or liability. For these items, a significant portion of fair value is derived by reference to quoted prices of similar assets or liabilities in active markets. For all remaining assets and liabilities, fair value is derived using a fair value model, such as a discounted cash flow model or Black-Scholes model. Purchased intangible assets are recorded at fair value. The fair value of significant purchased intangible assets is based on independent appraisals. Abbott uses a discounted cash flow model to value intangible assets. The discounted cash flow model requires assumptions about the timing and amount of future net cash flows, risk, the cost of capital, terminal values, and market participants. Intangible assets are reviewed for impairment on a quarterly basis. Goodwill and indefinite-lived intangible assets are tested for impairment at least annually.</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SHARE-BASED COMPENSATION — The fair value of stock options and restricted stock awards and units are amortized over their requisite service period, which could be shorter than the vesting period if an employee is retirement eligible, with a charge to compensation expense.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LITIGATION — Abbott accounts for litigation losses in accordance with Financial Accounting Standards Board (FASB) Accounting Standards Codification (ASC) No. 450, “Contingencies.” Under ASC No. 450, loss contingency provisions are recorded for probable losses at management’s best estimate of a loss, or when a best estimate cannot be made, a minimum loss contingency amount is recorded. Legal fees are recorded as incurred.</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CASH EQUIVALENTS, AND INVESTMENTS — Cash equivalents consist of bank time deposits, U.S. government securities, money market funds, and U.S. treasury bills with original maturities of three months or less. Abbott holds certain investments with a carrying value of $131 million that are accounted for under the equity method of accounting. Investments held in a rabbi trust and investments in publicly traded equity securities are recorded at fair value and changes in fair value are recorded in earnings. Investments in equity securities that are not traded on public stock exchanges are recorded at cost minus impairment, if any, plus or minus changes resulting from observable price changes in orderly transactions for identical or similar investments of the same issuer.</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TRADE RECEIVABLE VALUATIONS — Accounts receivable are stated at the net amount expected to be collected. The allowance for doubtful accounts reflects the current estimate of credit losses expected to be incurred over the life of the accounts receivable. Abbott considers various factors in establishing, monitoring, and adjusting its allowance for doubtful accounts, including the aging of the accounts and aging trends, the historical level of charge-offs, and specific exposures related to particular customers. Abbott also monitors other risk factors and forward-looking information, such as country risk, when determining credit limits for customers and establishing adequate allowances. Accounts receivable are charged off after all reasonable means to collect the full amount (including litigation, where appropriate) have been exhausted.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 Inventories are stated at the lower of cost (first-in, first-out basis) or net realizable value. Cost includes material and conversion costs.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PROPERTY AND EQUIPMENT — Depreciation and amortization are provided on a straight-line basis over the estimated useful lives of the assets. The following table shows estimated useful lives of property and equipment: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r>
      <w:tr>
        <w:trPr>
          <w:trHeight w:val="23"/>
        </w:trPr>
        <w:tc>
          <w:tcPr>
            <w:tcW w:w="9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to 50 years</w:t>
            </w:r>
          </w:p>
        </w:tc>
      </w:tr>
      <w:tr>
        <w:trPr>
          <w:trHeight w:val="234"/>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to 20 years</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LIABILITY — Abbott accrues for product liability claims when it is probable that a liability has been incurred and the amount of the liability can be reasonably estimated based on existing information. The liabilities are adjusted quarterly as additional information becomes available. Product liability losses are self-insured.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COSTS — Internal research and development costs are expensed as incurred. Clinical trial costs incurred by third parties are expensed as the contracted work is performed. Where contingent milestone payments are due to third parties under research and development arrangements, the milestone payment obligations are expensed when the milestone results are achieved.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 (Continued)</w:t>
      </w:r>
    </w:p>
    <w:p>
      <w:pPr>
        <w:spacing w:after="0" w:line="200" w:lineRule="exact"/>
        <w:rPr>
          <w:sz w:val="20"/>
          <w:szCs w:val="20"/>
          <w:color w:val="auto"/>
        </w:rPr>
      </w:pPr>
    </w:p>
    <w:p>
      <w:pPr>
        <w:spacing w:after="0" w:line="3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ACQUIRED IN-PROCESS AND COLLABORATIONS RESEARCH AND DEVELOPMENT (IPR&amp;D) — The initial costs of rights to IPR&amp;D projects obtained in an asset acquisition are expensed as IPR&amp;D unless the project has an alternative future use. These costs include initial payments incurred prior to regulatory approval in connection with research and development collaboration agreements that provide rights to develop, manufacture, market and/or sell pharmaceutical or medical device products. The fair value of IPR&amp;D projects acquired in a business combination or a consolidated variable interest entity are capitalized and accounted for as indefinite-lived intangible assets until completed and are then amortized over the remaining useful life. Collaborations are not significant.</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CONCENTRATION OF RISK AND GUARANTEES — Due to the nature of its operations, Abbott is not subject to significant concentration risks relating to customers, products, or geographic locations. Product warranties are not significant.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Abbott has no material exposures to off-balance sheet arrangements; no special purpose entities; nor activities that include non-exchange-traded contracts accounted for at fair value. Abbott periodically acquires a business or product rights in which Abbott agrees to pay contingent consideration based on attaining certain thresholds or based on the occurrence of certain events.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New Accounting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requires an entity to disclose annually additional information related to the company's income tax rate reconciliation and income taxes paid during the period. The guidance is required to be applied prospectively with the option to apply the standard retrospectively. Abbott adopted the standard on January 1, 2025, and applied the guidance prospectively. The new standard did not have an impact on Abbott's consolidated financial statements, but required additional disclosures, as presented in Note 15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Taxes on Earnings.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expands the breadth and frequency of required segment disclosures. The guidance is required to be applied retrospectively to all periods presented in the financial statements. Abbott adopted the standard on January 1, 2024. The new standard did not have an impact on Abbott's consolidated financial statements, but required additional disclosures, retrospectively applied to all periods presented in Note 16 — Segment and Geographic Area Information.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Not Yet Adopted</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(Subtopic 220-40):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requires an entity to disclose on an annual and interim basis, disaggregated information about specific income statement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The guidance should be applied prospectively with the option to apply the standard retrospectively. The standard becomes effective for Abbott for full year 2027 reporting. Abbott is currently evaluating the impact of this new standard on its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Abbott’s revenues are derived primarily from the sale of a broad line of healthcare products under short-term receivable arrangements. Patent protection and licenses, technological and performance features, and inclusion of Abbott’s products under a contract, most impact which products are sold; price controls, competition and rebates most impact the net selling prices of products; and foreign currency translation impacts the measurement of net sales and costs. Abbott’s products are generally sold directly to retailers, wholesalers, distributors, hospitals, healthcare facilities, laboratories, physicians’ offices, and government agencies throughout the world. Abbott has four reportable segments: Established Pharmaceutical Products, Diagnostic Products, Nutritional Products, and Medical Devices.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detail by sales category: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
        </w:trPr>
        <w:tc>
          <w:tcPr>
            <w:tcW w:w="24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U.S.</w:t>
            </w: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Int’l</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Int’l</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Int’l</w:t>
            </w: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69"/>
        </w:trPr>
        <w:tc>
          <w:tcPr>
            <w:tcW w:w="2380" w:type="dxa"/>
            <w:vAlign w:val="bottom"/>
            <w:tcBorders>
              <w:top w:val="single" w:sz="8" w:color="auto"/>
            </w:tcBorders>
            <w:shd w:val="clear" w:color="auto" w:fill="CCEEFF"/>
          </w:tcPr>
          <w:p>
            <w:pPr>
              <w:ind w:left="100"/>
              <w:spacing w:after="0" w:line="169" w:lineRule="exact"/>
              <w:rPr>
                <w:sz w:val="20"/>
                <w:szCs w:val="20"/>
                <w:color w:val="auto"/>
              </w:rPr>
            </w:pPr>
            <w:r>
              <w:rPr>
                <w:rFonts w:ascii="Times New Roman" w:cs="Times New Roman" w:eastAsia="Times New Roman" w:hAnsi="Times New Roman"/>
                <w:sz w:val="18"/>
                <w:szCs w:val="18"/>
                <w:color w:val="auto"/>
              </w:rPr>
              <w:t>Established Pharmaceutical</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r>
      <w:tr>
        <w:trPr>
          <w:trHeight w:val="243"/>
        </w:trPr>
        <w:tc>
          <w:tcPr>
            <w:tcW w:w="2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Products —</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29"/>
        </w:trPr>
        <w:tc>
          <w:tcPr>
            <w:tcW w:w="2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Key Emerging Markets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r>
      <w:tr>
        <w:trPr>
          <w:trHeight w:val="230"/>
        </w:trPr>
        <w:tc>
          <w:tcPr>
            <w:tcW w:w="2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r>
      <w:tr>
        <w:trPr>
          <w:trHeight w:val="22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w:t>
            </w:r>
          </w:p>
        </w:tc>
      </w:tr>
      <w:tr>
        <w:trPr>
          <w:trHeight w:val="270"/>
        </w:trPr>
        <w:tc>
          <w:tcPr>
            <w:tcW w:w="2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3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Nutritional Products —</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2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Pediatric Nutritionals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r>
      <w:tr>
        <w:trPr>
          <w:trHeight w:val="230"/>
        </w:trPr>
        <w:tc>
          <w:tcPr>
            <w:tcW w:w="24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Adult Nutritionals</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w:t>
            </w:r>
          </w:p>
        </w:tc>
      </w:tr>
      <w:tr>
        <w:trPr>
          <w:trHeight w:val="223"/>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8,154</w:t>
            </w:r>
          </w:p>
        </w:tc>
      </w:tr>
      <w:tr>
        <w:trPr>
          <w:trHeight w:val="270"/>
        </w:trPr>
        <w:tc>
          <w:tcPr>
            <w:tcW w:w="2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2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Diagnostic Products —</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2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Core Laboratory</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w:t>
            </w:r>
          </w:p>
        </w:tc>
      </w:tr>
      <w:tr>
        <w:trPr>
          <w:trHeight w:val="229"/>
        </w:trPr>
        <w:tc>
          <w:tcPr>
            <w:tcW w:w="2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Molecular</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30"/>
        </w:trPr>
        <w:tc>
          <w:tcPr>
            <w:tcW w:w="2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Point of Care</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29"/>
        </w:trPr>
        <w:tc>
          <w:tcPr>
            <w:tcW w:w="2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Rapid Diagnostics</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r>
      <w:tr>
        <w:trPr>
          <w:trHeight w:val="22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9,988</w:t>
            </w:r>
          </w:p>
        </w:tc>
      </w:tr>
      <w:tr>
        <w:trPr>
          <w:trHeight w:val="270"/>
        </w:trPr>
        <w:tc>
          <w:tcPr>
            <w:tcW w:w="2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3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Medical Devices —</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2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Rhythm Management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r>
      <w:tr>
        <w:trPr>
          <w:trHeight w:val="229"/>
        </w:trPr>
        <w:tc>
          <w:tcPr>
            <w:tcW w:w="2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Electrophysiology</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w:t>
            </w:r>
          </w:p>
        </w:tc>
      </w:tr>
      <w:tr>
        <w:trPr>
          <w:trHeight w:val="230"/>
        </w:trPr>
        <w:tc>
          <w:tcPr>
            <w:tcW w:w="2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Heart Failure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r>
      <w:tr>
        <w:trPr>
          <w:trHeight w:val="230"/>
        </w:trPr>
        <w:tc>
          <w:tcPr>
            <w:tcW w:w="2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Vascular</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r>
      <w:tr>
        <w:trPr>
          <w:trHeight w:val="230"/>
        </w:trPr>
        <w:tc>
          <w:tcPr>
            <w:tcW w:w="2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Structural Heart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r>
      <w:tr>
        <w:trPr>
          <w:trHeight w:val="229"/>
        </w:trPr>
        <w:tc>
          <w:tcPr>
            <w:tcW w:w="2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Neuromodulation</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30"/>
        </w:trPr>
        <w:tc>
          <w:tcPr>
            <w:tcW w:w="2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Diabetes Care</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r>
      <w:tr>
        <w:trPr>
          <w:trHeight w:val="22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16,887</w:t>
            </w:r>
          </w:p>
        </w:tc>
      </w:tr>
      <w:tr>
        <w:trPr>
          <w:trHeight w:val="270"/>
        </w:trPr>
        <w:tc>
          <w:tcPr>
            <w:tcW w:w="2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3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0"/>
        </w:trPr>
        <w:tc>
          <w:tcPr>
            <w:tcW w:w="23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r>
      <w:tr>
        <w:trPr>
          <w:trHeight w:val="23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41,950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24,657</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40,109</w:t>
            </w:r>
          </w:p>
        </w:tc>
      </w:tr>
      <w:tr>
        <w:trPr>
          <w:trHeight w:val="20"/>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Products sold by the Diagnostics segment include various types of diagnostic tests to detect COVID-19. Abbott’s COVID-19 testing-related sales totaled $297 million in 2025, $747 million in 2024, and $1.6 billion in 2023.</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(Continued)</w:t>
      </w:r>
    </w:p>
    <w:p>
      <w:pPr>
        <w:spacing w:after="0" w:line="200" w:lineRule="exact"/>
        <w:rPr>
          <w:sz w:val="20"/>
          <w:szCs w:val="20"/>
          <w:color w:val="auto"/>
        </w:rPr>
      </w:pPr>
    </w:p>
    <w:p>
      <w:pPr>
        <w:spacing w:after="0" w:line="3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Abbott recognizes revenue from product sales upon the transfer of control, which is generally upon shipment or delivery, depending on the delivery terms set forth in the customer contract. For maintenance agreements that provide service beyond Abbott’s standard warranty and other service agreements, revenue is recognized ratably over the contract term. A time-based measure of progress appropriately reflects the transfer of services to the customer. Payment terms between Abbott and its customers vary by the type of customer, country of sale, and the products or services offered. The term between invoicing and the payment due date is not significant.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exercises judgment in estimating variable consideration. Provisions for discounts, rebates, and sales incentives to customers, returns, and other adjustments are provided for in the period the related sales are recorded. Sales incentives to customers are not material. Historical data is readily available and reliable and is used for estimating the amount of the reduction in gross sales. Abbott provides rebates to government agencies, wholesalers, group purchasing organizations and other private entities.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Rebate amounts are usually based upon the volume of purchases using contractual or statutory prices for a product. Factors used in the rebate calculations include the identification of which products have been sold subject to a rebate, which customer or government agency price terms apply, and the estimated lag time between sale and payment of a rebate. Using historical trends, adjusted for current changes, Abbott estimates the amount of the rebate that will be paid, and records the liability as a reduction of gross sales when Abbott records its sale of the product. Settlement of the rebate generally occurs from one to six months after sale. Abbott regularly analyzes the historical rebate trends and makes adjustments to reserves for changes in trends and terms of rebate programs. Historically, adjustments to prior years’ rebate accruals have not been material to net earnings.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allowances charged against gross sales include cash discounts and returns, which are not significant. Cash discounts are known within 15 to 30 days of sale and therefore can be reliably estimated. Returns can be reliably estimated because Abbott’s historical returns are low, and because sales return terms and other sales terms have remained relatively unchanged for several periods. Product warranties are also not significant.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Abbott also applies judgment in determining the timing of revenue recognition related to contracts that include multiple performance obligations. The total transaction price of the contract is allocated to each performance obligation in an amount based on the estimated relative standalone selling prices of the promised goods or services underlying each performance obligation. For goods or services for which observable standalone selling prices are not available, Abbott uses an expected cost plus a margin approach to estimate the standalone selling price of each performance obligation.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estimated revenue expected to be recognized in the future related to performance obligations that are unsatisfied (or partially unsatisfied) was $6.1 billion in the Diagnostic Products segment and $444 million in the Medical Devices segment. Abbott expects to recognize revenue on approximately 52 percent of these remaining performance obligations over the next 24 months, approximately 17 percent over the subsequent 12 months and the remainder thereafter.</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performance obligations primarily reflect the future sale of reagents/consumables in contracts with minimum purchase obligations, extended warranty or service obligations related to previously sold equipment, and remote monitoring services related to previously implanted devices. Abbott has applied the practical expedient described in ASC 606-10-50-14 and has not included remaining performance obligations related to contracts with original expected durations of one year or less in the amounts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Recognized for Costs to Obtain a Contract with a Customer</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Abbott has applied the practical expedient in ASC 340-40-25-4 and records as an expense the incremental costs of obtaining contracts with customers in the period of occurrence when the amortization period of the asset that Abbott otherwise would have recognized is one year or less. Upfront commission fees paid to sales personnel as a result of obtaining or renewing contracts with customers are incremental to obtaining the contract. Abbott capitalizes these amounts as contract costs. Capitalized commission fees are amortized based on the contract duration to which the assets relate, which ranges from two to ten years. The amounts as of December 31, 2025, and 2024 were not significant.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(Continued)</w:t>
      </w:r>
    </w:p>
    <w:p>
      <w:pPr>
        <w:spacing w:after="0" w:line="200" w:lineRule="exact"/>
        <w:rPr>
          <w:sz w:val="20"/>
          <w:szCs w:val="20"/>
          <w:color w:val="auto"/>
        </w:rPr>
      </w:pPr>
    </w:p>
    <w:p>
      <w:pPr>
        <w:spacing w:after="0" w:line="3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 cost of transmitters provided to customers that use Abbott’s remote monitoring service with respect to certain medical devices are capitalized as contract costs. Capitalized transmitter costs are amortized based on the timing of the transfer of services to which the assets relate, which typically ranges from eight to ten years. The amounts as of December 31, 2025, and 2024 were not significant.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Contract Assets and Liabilities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Abbott discloses Trade receivables separately in the Consolidated Balance Sheet at the net amount expected to be collected. Contract assets primarily relate to Abbott’s conditional right to consideration for work completed but not billed at the reporting date. Contract assets at the beginning and end of the period, as well as the changes in the balance, were not significant.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liabilities primarily relate to payments received from customers in advance of performance under the contract. Abbott’s contract liabilities arise primarily in the Medical Devices reportable segment when payment is received upfront for various multi-period extended service arrangements. Changes in the contract liabilities during the period are as follows:</w:t>
      </w:r>
    </w:p>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Contract Liabilities: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6"/>
              </w:rPr>
              <w:t>545</w:t>
            </w:r>
          </w:p>
        </w:tc>
      </w:tr>
      <w:tr>
        <w:trPr>
          <w:trHeight w:val="230"/>
        </w:trPr>
        <w:tc>
          <w:tcPr>
            <w:tcW w:w="9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Unearned revenue from cash received during the period</w:t>
            </w: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6"/>
              </w:rPr>
              <w:t>483</w:t>
            </w:r>
          </w:p>
        </w:tc>
      </w:tr>
      <w:tr>
        <w:trPr>
          <w:trHeight w:val="229"/>
        </w:trPr>
        <w:tc>
          <w:tcPr>
            <w:tcW w:w="9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Revenue recognized related to contract liability balance</w:t>
            </w: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rPr>
              <w:t>(460)</w:t>
            </w:r>
          </w:p>
        </w:tc>
      </w:tr>
      <w:tr>
        <w:trPr>
          <w:trHeight w:val="223"/>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6"/>
              </w:rPr>
              <w:t>568</w:t>
            </w:r>
          </w:p>
        </w:tc>
      </w:tr>
      <w:tr>
        <w:trPr>
          <w:trHeight w:val="230"/>
        </w:trPr>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Unearned revenue from cash received during the period</w:t>
            </w:r>
          </w:p>
        </w:tc>
        <w:tc>
          <w:tcPr>
            <w:tcW w:w="580" w:type="dxa"/>
            <w:vAlign w:val="bottom"/>
          </w:tcPr>
          <w:p>
            <w:pPr>
              <w:spacing w:after="0"/>
              <w:rPr>
                <w:sz w:val="19"/>
                <w:szCs w:val="19"/>
                <w:color w:val="auto"/>
              </w:rPr>
            </w:pPr>
          </w:p>
        </w:tc>
        <w:tc>
          <w:tcPr>
            <w:tcW w:w="9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6"/>
              </w:rPr>
              <w:t>488</w:t>
            </w:r>
          </w:p>
        </w:tc>
      </w:tr>
      <w:tr>
        <w:trPr>
          <w:trHeight w:val="229"/>
        </w:trPr>
        <w:tc>
          <w:tcPr>
            <w:tcW w:w="9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 recognized related to contract liability balance</w:t>
            </w: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(423)</w:t>
            </w:r>
          </w:p>
        </w:tc>
      </w:tr>
      <w:tr>
        <w:trPr>
          <w:trHeight w:val="223"/>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w w:val="96"/>
              </w:rPr>
              <w:t>633</w:t>
            </w:r>
          </w:p>
        </w:tc>
      </w:tr>
      <w:tr>
        <w:trPr>
          <w:trHeight w:val="20"/>
        </w:trPr>
        <w:tc>
          <w:tcPr>
            <w:tcW w:w="9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Supplemental Financial Information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expense, net, for 2025, 2024, and 2023 includes $590 million, $542 million, and $498 million of income, respectively, related to the non-service cost components of the net periodic benefit costs associated with the pension and post-retirement medical plans.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2024, Abbott sold a non-core business related to its Established Pharmaceutical Products segment. Abbott recorded a loss of $143 million on the sale in Other (income) expense, net in its Consolidated Statement of Earnings. Net assets which primarily related to inventory and net property and equipment, and had a carrying value of $28 million, were included in the sale. The loss on the sale also included $116 million of cumulative foreign currency translation adjustment previously recorded in Accumulated other comprehensive income (loss).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activity related to the allowance for doubtful accounts:</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9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Provisions/charges to income</w:t>
            </w:r>
          </w:p>
        </w:tc>
        <w:tc>
          <w:tcPr>
            <w:tcW w:w="5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Amounts charged off and other deductions</w:t>
            </w:r>
          </w:p>
        </w:tc>
        <w:tc>
          <w:tcPr>
            <w:tcW w:w="53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5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30"/>
        </w:trPr>
        <w:tc>
          <w:tcPr>
            <w:tcW w:w="4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Provisions/charges to income</w:t>
            </w:r>
          </w:p>
        </w:tc>
        <w:tc>
          <w:tcPr>
            <w:tcW w:w="5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Amounts charged off and other deductions</w:t>
            </w:r>
          </w:p>
        </w:tc>
        <w:tc>
          <w:tcPr>
            <w:tcW w:w="534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534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5340" w:type="dxa"/>
            <w:vAlign w:val="bottom"/>
            <w:vMerge w:val="restart"/>
          </w:tcPr>
          <w:p>
            <w:pPr>
              <w:jc w:val="right"/>
              <w:ind w:right="3950"/>
              <w:spacing w:after="0"/>
              <w:rPr>
                <w:sz w:val="20"/>
                <w:szCs w:val="20"/>
                <w:color w:val="auto"/>
              </w:rPr>
            </w:pPr>
            <w:r>
              <w:rPr>
                <w:rFonts w:ascii="Times New Roman" w:cs="Times New Roman" w:eastAsia="Times New Roman" w:hAnsi="Times New Roman"/>
                <w:sz w:val="18"/>
                <w:szCs w:val="18"/>
                <w:color w:val="auto"/>
              </w:rPr>
              <w:t>52</w:t>
            </w: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420" w:type="dxa"/>
            <w:vAlign w:val="bottom"/>
          </w:tcPr>
          <w:p>
            <w:pPr>
              <w:spacing w:after="0"/>
              <w:rPr>
                <w:sz w:val="24"/>
                <w:szCs w:val="24"/>
                <w:color w:val="auto"/>
              </w:rPr>
            </w:pPr>
          </w:p>
        </w:tc>
        <w:tc>
          <w:tcPr>
            <w:tcW w:w="53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420" w:type="dxa"/>
            <w:vAlign w:val="bottom"/>
            <w:tcBorders>
              <w:bottom w:val="single" w:sz="8" w:color="9A9A9A"/>
            </w:tcBorders>
          </w:tcPr>
          <w:p>
            <w:pPr>
              <w:spacing w:after="0"/>
              <w:rPr>
                <w:sz w:val="8"/>
                <w:szCs w:val="8"/>
                <w:color w:val="auto"/>
              </w:rPr>
            </w:pPr>
          </w:p>
        </w:tc>
        <w:tc>
          <w:tcPr>
            <w:tcW w:w="53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Supplemental Financial Information (Continued)</w:t>
      </w:r>
    </w:p>
    <w:p>
      <w:pPr>
        <w:spacing w:after="0" w:line="200" w:lineRule="exact"/>
        <w:rPr>
          <w:sz w:val="20"/>
          <w:szCs w:val="20"/>
          <w:color w:val="auto"/>
        </w:rPr>
      </w:pPr>
    </w:p>
    <w:p>
      <w:pPr>
        <w:spacing w:after="0" w:line="3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doubtful accounts reflects the current estimate of credit losses expected to be incurred over the life of the accounts receivable. Abbott considers various factors in establishing, monitoring, and adjusting its allowance for doubtful accounts, including the aging of the accounts and aging trends, the historical level of charge-offs, and specific exposures related to particular customers. Abbott also monitors other risk factors and forward-looking information, such as country risk, when determining credit limits for customers and establishing adequate allowances.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 of various balance sheet components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3"/>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Abbott’s equity securities as of December 31, 2025, and December 31, 2024, include $323 million and $313 million, respectively, of investments in mutual funds that are held in a rabbi trust. These investments, which are specifically designated as available for the purpose of paying benefits under a deferred compensation plan, are not available for general corporate purposes and are subject to creditor claims in the event of insolvency.</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Abbott also holds certain investments as of December 31, 2025, with a carrying value of $131 million that are accounted for under the equity method of accounting and other equity investments with a carrying value of $124 million that do not have a readily determinable fair value.</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60" w:type="dxa"/>
            <w:vAlign w:val="bottom"/>
          </w:tcPr>
          <w:p>
            <w:pPr>
              <w:jc w:val="center"/>
              <w:ind w:left="34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620" w:type="dxa"/>
            <w:vAlign w:val="bottom"/>
            <w:vMerge w:val="continue"/>
          </w:tcPr>
          <w:p>
            <w:pPr>
              <w:spacing w:after="0"/>
              <w:rPr>
                <w:sz w:val="16"/>
                <w:szCs w:val="16"/>
                <w:color w:val="auto"/>
              </w:rPr>
            </w:pPr>
          </w:p>
        </w:tc>
        <w:tc>
          <w:tcPr>
            <w:tcW w:w="506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Accrued rebates payable to government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other rebates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All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30"/>
        </w:trPr>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r>
      <w:tr>
        <w:trPr>
          <w:trHeight w:val="234"/>
        </w:trPr>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3,424</w:t>
            </w: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5,143</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590"/>
        </w:trPr>
        <w:tc>
          <w:tcPr>
            <w:tcW w:w="22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24"/>
                <w:szCs w:val="24"/>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r>
    </w:tbl>
    <w:p>
      <w:pPr>
        <w:spacing w:after="0" w:line="19" w:lineRule="exact"/>
        <w:rPr>
          <w:sz w:val="20"/>
          <w:szCs w:val="20"/>
          <w:color w:val="auto"/>
        </w:rPr>
      </w:pPr>
    </w:p>
    <w:p>
      <w:pPr>
        <w:sectPr>
          <w:pgSz w:w="11900" w:h="16838" w:orient="portrait"/>
          <w:cols w:equalWidth="0" w:num="2">
            <w:col w:w="7460" w:space="720"/>
            <w:col w:w="306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Post-employment Obligations and Other Long-term Liabilities: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 benefit pension plans and post-employment medical and dental plans for significant plans</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unrecognized tax benefits</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w:t>
            </w: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Accumulated Other Comprehensive Income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changes in accumulated other comprehensive income (loss), net of income taxes,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62"/>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Actuarial Gains</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on Derivative</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6"/>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00" w:type="dxa"/>
            <w:vAlign w:val="bottom"/>
          </w:tcPr>
          <w:p>
            <w:pPr>
              <w:spacing w:after="0"/>
              <w:rPr>
                <w:sz w:val="15"/>
                <w:szCs w:val="15"/>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 and Prior</w:t>
            </w:r>
          </w:p>
        </w:tc>
        <w:tc>
          <w:tcPr>
            <w:tcW w:w="18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18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Designated as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5"/>
                <w:szCs w:val="15"/>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(Costs) and</w:t>
            </w:r>
          </w:p>
        </w:tc>
        <w:tc>
          <w:tcPr>
            <w:tcW w:w="18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4"/>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Credits</w:t>
            </w: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320" w:type="dxa"/>
            <w:vAlign w:val="bottom"/>
          </w:tcPr>
          <w:p>
            <w:pPr>
              <w:spacing w:after="0"/>
              <w:rPr>
                <w:sz w:val="17"/>
                <w:szCs w:val="17"/>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w:t>
            </w:r>
          </w:p>
        </w:tc>
      </w:tr>
      <w:tr>
        <w:trPr>
          <w:trHeight w:val="22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176"/>
        </w:trPr>
        <w:tc>
          <w:tcPr>
            <w:tcW w:w="55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loss amounts reclassified from accumulated other</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 (a)</w:t>
            </w: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w:t>
            </w:r>
          </w:p>
        </w:tc>
      </w:tr>
      <w:tr>
        <w:trPr>
          <w:trHeight w:val="22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r>
      <w:tr>
        <w:trPr>
          <w:trHeight w:val="176"/>
        </w:trPr>
        <w:tc>
          <w:tcPr>
            <w:tcW w:w="55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loss amounts reclassified from accumulated other</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 (a)</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48"/>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w:t>
      </w:r>
    </w:p>
    <w:p>
      <w:pPr>
        <w:spacing w:after="0" w:line="271" w:lineRule="exact"/>
        <w:rPr>
          <w:sz w:val="20"/>
          <w:szCs w:val="20"/>
          <w:color w:val="auto"/>
        </w:rPr>
      </w:pPr>
    </w:p>
    <w:p>
      <w:pPr>
        <w:jc w:val="both"/>
        <w:ind w:left="480" w:right="20" w:hanging="454"/>
        <w:spacing w:after="0" w:line="204" w:lineRule="auto"/>
        <w:tabs>
          <w:tab w:leader="none" w:pos="480" w:val="left"/>
        </w:tabs>
        <w:numPr>
          <w:ilvl w:val="0"/>
          <w:numId w:val="1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(Income) loss amounts reclassified from accumulated other comprehensive income related to cash flow hedges are recorded as Cost of products sold. Net actuarial losses and prior service cost are included as a component of net periodic benefit cost. See Note 14 — Post-Employment Benefits for additional information. The reclassification of $116 million out of Accumulated other comprehensive income (loss) in 2024 is included in the loss related to the sale of a non-core business included in Other (income) expense.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Business Acquisitions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19, 2025, Abbott entered into a definitive agreement to acquire Exact Sciences Corporation (Exact Sciences), which is expected to enable Abbott to enter the cancer diagnostics market. The acquisition is subject to customary closing conditions, including the approval of Exact Sciences shareholders, and obtaining the required regulatory clearances. Under the terms of the agreement, Abbott will pay $105 per common share in cash at the completion of the transaction, representing a total equity value of approximately $21 billion and an estimated enterprise value of $23 billion. Abbott's financing contemplates absorption of Exact Sciences' estimated $1.8 billion of net debt.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19, 2025, Abbott obtained a commitment for a 364-day senior unsecured bridge term loan facility for an amount not to exceed $20.0 billion in conjunction with its pending acquisition of Exact Sciences. While Abbott plans to fund this transaction with cash on hand and borrowings, the bridge facility will provide back-up financing.</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22, 2023, Abbott completed the acquisition of Bigfoot Biomedical, Inc. (Bigfoot), which furthers Abbott's efforts to develop connected solutions for making diabetes management more personal and precise. The purchase price, the final allocation of acquired assets and liabilities, and the revenue and net income contributed by Bigfoot since the date of acquisition are not material to Abbott's consolidated financial statements.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27, 2023, Abbott completed the acquisition of Cardiovascular Systems, Inc. (CSI) for $20 per common share, which equated to a purchase price of $851 million. The transaction was funded with cash on hand and accounted for as a business combination. CSI's atherectomy system, which is used in treating peripheral and coronary artery disease, adds complementary technologies to Abbott's portfolio of vascular device offerings.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Business Acquisitions (Continued)</w:t>
      </w:r>
    </w:p>
    <w:p>
      <w:pPr>
        <w:spacing w:after="0" w:line="3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final allocation of the purchase price of the CSI acquisition resulted in the recording of two non-deductible developed technology intangible assets totaling $305 million; a non-deductible IPR&amp;D asset of $15 million, which will be accounted for as an indefinite-lived intangible asset until regulatory approval or discontinuation; non-deductible goodwill of $369 million; net deferred tax assets of $46 million and other net assets of $116 million. The goodwill is identifiable to the Medical Devices reportable segment and is attributable to expected synergies from combining operations, as well as intangible assets that do not qualify for separate recognition. Revenues and earnings of CSI included in Abbott's consolidated financial statements since the acquisition date are not material to Abbott's consolidated revenue and earnings.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Intangible Assets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amount of reported goodwill was $24.0 billion at December 31, 2025, and $23.1 billion at December 31, 2024. Foreign currency translation adjustments increased goodwill by $880 million in 2025 and decreased goodwill by $533 million in 2024. In 2025, business acquisitions increased goodwill by $47 million. The amount of goodwill related to reportable segments at December 31, 2025, was $2.7 billion for the Established Pharmaceutical Products segment, $285 million for the Nutritional Products segment, $3.6 billion for the Diagnostic Products segment, and $17.4 billion for the Medical Devices segment. There were no reductions of goodwill relating to impairments in 2025 and 2024.</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gross amount of amortizable intangible assets, primarily product rights and technology, was $27.6 billion and $27.1 billion as of December 31, 2025, and 2024, respectively. In 2025, the gross amount of amortizable intangible assets increased by $48 million due to a business acquisition and other transactions. Accumulated amortization was $23.3 billion and $21.3 billion as of December 31, 2025, and 2024, respectively. Foreign currency translation adjustments increased intangible assets by $86 million in 2025 and decreased intangible assets by $78 million in 2024. The estimated annual amortization expense for intangible assets recorded at December 31, 2025, is approximately $1.5 billion in 2026, $1.2 billion in 2027, $650 million in 2028, $608 million in 2029, and $363 million in 2030</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Amortizable intangible assets are amortized over 2 to 20 years.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Indefinite-lived intangible assets, which relate to IPR&amp;D acquired in a business combination and consolidated variable interest entities, were $1.2 billion and $784 million at December 31, 2025, and 2024, respectively. In 2025, IPR&amp;D increased $428 million, related to transactions in the Medical Devices reportable segment. In 2024, IPR&amp;D decreased by $39 million due to charges recorded in Research and development in the Consolidated Statement of Earnings for the impairment of an indefinite-lived intangible asset related to the Medical Devices reportable segment, and was partially offset by a $35 million increase resulting from the finalization of purchase accounting related to a business acquisition.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Restructuring Plans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2025, Abbott management approved plans to streamline operations in order to reduce costs and improve efficiencies in its Diagnostics, Nutritionals, Established Pharmaceuticals, and Medical Devices businesses. Abbott recorded employee related severance and other charges of $274 million, of which $109 million was recorded in Cost of products sold, $53 million was recorded in Research and development, and $112 million was recorded in Selling, general, and administrative expenses. Payments related to these actions totaled $94 million in 2025 and the remaining liabilities totaled $180 million at December 31, 2025. In addition, in 2025, Abbott recognized fixed asset impairment charges of $28 million related to these restructuring plans.</w:t>
      </w:r>
    </w:p>
    <w:p>
      <w:pPr>
        <w:spacing w:after="0" w:line="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2024, Abbott management approved plans to streamline certain operations in order to reduce costs and improve efficiencies in its Diagnostics, Medical Devices, Established Pharmaceuticals, and Nutritionals businesses, including the discontinuation of its ZonePerfect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line. Abbott recorded employee related severance and other charges of $129 million, of which $62 million was recorded in Cost of products sold, $21 million was recorded in Research and development, and $46 million was recorded in Selling, general and administrative expenses. In addition, Abbott recognized inventory related charges of $34 million and fixed asset impairment charges of $12 million related to these restructuring plans.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activity related to the 2024 restructuring actions and the status of the related accruals as of December 31,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9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 in 2024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9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Payments and other adjustments</w:t>
            </w: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balance at December 31, 2024</w:t>
            </w: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9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Payments and other adjustments</w:t>
            </w: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8"/>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balance at December 31, 2025</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2023, Abbott management approved plans to restructure various operations in order to reduce costs in its Medical Devices, Diagnostics, and Established Pharmaceuticals businesses. Abbott recorded employee related severance and other charges of $144 million, of which $56 million was recorded in Cost of products sold, $22 million was recorded in Research and development, and $66 million was recorded in Selling, general and administrative expenses. In addition, Abbott recognized fixed asset impairment and inventory related charges of $31 million related to these restructuring plans.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activity related to the 2023 restructuring actions and the status of the related accruals as of December 31,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9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 in 2023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9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Payments and other adjustments</w:t>
            </w: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balance at December 31, 2023</w:t>
            </w: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9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Payments and other adjustments</w:t>
            </w: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balance at December 31, 2024</w:t>
            </w: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9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Payments and other adjustments</w:t>
            </w: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8"/>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balance at December 31, 2025</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Incentive Stock Program</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2017 Incentive Stock Program authorizes the granting of nonqualified stock options, restricted stock awards, restricted stock units, performance awards, foreign benefits, and other share-based awards. Stock options and restricted stock awards and units comprise the majority of benefits that have been granted and are currently outstanding under this program and a prior program. In 2025, Abbott granted 1,486,579 stock options, 365,499 restricted stock awards, and 4,439,430 restricted stock units under this program.</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Abbott’s stock incentive programs, the purchase price of shares under option must be at least equal to the fair market value of the common stock on the date of grant, and the maximum term of an option is 10 years. Options generally vest equally over three years. Restricted stock awards generally vest over three years, with no more than one-third of the award vesting in any one year upon Abbott reaching a minimum return on equity target. Restricted stock units vest over three years and, upon vesting, the recipient receives one share of Abbott stock for each vested restricted stock unit. The aggregate fair market value of options and restricted stock awards and units is recognized as expense over the requisite service period, which may be shorter than the vesting period if an employee is retirement eligible. Forfeitures are estimated at the time of grant. Restricted stock awards and settlement of vested restricted stock units are issued out of treasury shares. Abbott generally issues new shares for exercises of stock options. As a policy, Abbott does not purchase its shares relating to its share-based programs.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2017, Abbott’s shareholders authorized the 2017 Incentive Stock Program under which a maximum of 170 million shares were available for issuance. At December 31, 2025, approximately 51 million shares remained available for future issuance.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year ended December 31, 2025, and the outstanding stock options as of December 31,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values in millions)</w:t>
            </w:r>
          </w:p>
        </w:tc>
        <w:tc>
          <w:tcPr>
            <w:tcW w:w="14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7"/>
                <w:szCs w:val="17"/>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3"/>
        </w:trPr>
        <w:tc>
          <w:tcPr>
            <w:tcW w:w="5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26,546,749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80.70</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3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1,486,579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135.26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(5,337,114)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55.36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Lapsed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121.45</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22,588,795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90.09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3"/>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at December 31, 2025</w:t>
            </w: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19,426,784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84.71</w:t>
            </w:r>
          </w:p>
        </w:tc>
        <w:tc>
          <w:tcPr>
            <w:tcW w:w="100" w:type="dxa"/>
            <w:vAlign w:val="bottom"/>
          </w:tcPr>
          <w:p>
            <w:pPr>
              <w:spacing w:after="0"/>
              <w:rPr>
                <w:sz w:val="17"/>
                <w:szCs w:val="17"/>
                <w:color w:val="auto"/>
              </w:rPr>
            </w:pPr>
          </w:p>
        </w:tc>
        <w:tc>
          <w:tcPr>
            <w:tcW w:w="13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awards and units activity for the year ended December 31, 2025.</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6"/>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204"/>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5520" w:type="dxa"/>
            <w:vAlign w:val="bottom"/>
            <w:tcBorders>
              <w:bottom w:val="single" w:sz="8" w:color="CCEEFF"/>
            </w:tcBorders>
            <w:gridSpan w:val="2"/>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10,509,572</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113.48</w:t>
            </w:r>
          </w:p>
        </w:tc>
        <w:tc>
          <w:tcPr>
            <w:tcW w:w="0" w:type="dxa"/>
            <w:vAlign w:val="bottom"/>
          </w:tcPr>
          <w:p>
            <w:pPr>
              <w:spacing w:after="0"/>
              <w:rPr>
                <w:sz w:val="1"/>
                <w:szCs w:val="1"/>
                <w:color w:val="auto"/>
              </w:rPr>
            </w:pPr>
          </w:p>
        </w:tc>
      </w:tr>
      <w:tr>
        <w:trPr>
          <w:trHeight w:val="23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4,804,929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135.22</w:t>
            </w: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(5,191,859)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113.61</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(580,907)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121.81</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9,541,735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123.85</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market value of restricted stock awards and units vested in 2025, 2024, and 2023 was $685 million, $570 million, and $536 million, respectively.</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in 2025, 2024, and 2023 was $389 million, $238 million, and $102 million, respectively. The total unrecognized compensation cost related to all share-based compensation plans at December 31, 2025, amounted to $467 million, which is expected to be recognized over the next three years.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Incentive Stock Program (Continued)</w:t>
      </w:r>
    </w:p>
    <w:p>
      <w:pPr>
        <w:spacing w:after="0" w:line="200" w:lineRule="exact"/>
        <w:rPr>
          <w:sz w:val="20"/>
          <w:szCs w:val="20"/>
          <w:color w:val="auto"/>
        </w:rPr>
      </w:pPr>
    </w:p>
    <w:p>
      <w:pPr>
        <w:spacing w:after="0" w:line="2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non-cash stock compensation expense charged against income in 2025, 2024, and 2023 for share-based plans totaled $664 million, $673 million, and $644 million, respectively, and the tax benefit recognized was $223 million, $181 million, and $144 million, respectively. Stock compensation cost capitalized as part of inventory is not significant.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fair value of an option granted in 2025, 2024, and 2023 and the assumptions included in the Black-Scholes option-pricing model used to estimate the fair value: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3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36.27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31.10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26.87</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life of options (years)</w:t>
            </w: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24.4 %</w:t>
            </w: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risk-free interest rate is based on the rates available at the time of the grant for zero-coupon U.S. government issues with a remaining term equal to the option’s expected life. The average life of an option is based on both historical and projected exercise and lapsing data. Expected volatility is based on implied volatilities from traded options on Abbott’s stock and historical volatility of Abbott’s stock over the expected life of the option. Dividend yield is based on the option’s exercise price and annual dividend rate at the time of grant.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Debt and Lines of Credit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long-term debt at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2.95% Notes, due 2025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3.875% Notes, due 2025</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1.50% Notes, due 2026</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3.75% Notes, due 2026</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0.375% Notes, due 2027</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1.15% Notes, due 2028</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5-year term loan due 2029</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1.40% Notes, due 2030</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4.75% Notes, due 2036</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6.15% Notes, due 2037</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6.00% Notes, due 2039</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5.30% Notes, due 2040</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4.75% Notes, due 2043</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4.90% Notes, due 2046</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including fair value adjustments relating to interest rate hedge contracts designated as fair value hedges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carrying amount of long-term debt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14,125</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portion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1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Debt and Lines of Credit (Continued)</w:t>
      </w:r>
    </w:p>
    <w:p>
      <w:pPr>
        <w:spacing w:after="0" w:line="200" w:lineRule="exact"/>
        <w:rPr>
          <w:sz w:val="20"/>
          <w:szCs w:val="20"/>
          <w:color w:val="auto"/>
        </w:rPr>
      </w:pPr>
    </w:p>
    <w:p>
      <w:pPr>
        <w:spacing w:after="0" w:line="3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19, 2025, Abbott obtained a commitment for a 364-day senior unsecured bridge term loan facility for an amount not to exceed $20.0 billion in conjunction with its pending acquisition of Exact Sciences. While Abbott plans to fund this transaction with cash on hand and borrowings, the bridge facility will provide back-up financing.</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15, 2025, Abbott repaid the $500 million outstanding principal amount of its 3.875% Notes upon maturity. On March 17, 2025, Abbott repaid the $1.0 billion outstanding principal amount of its 2.95% Notes upon maturity. On November 19, 2024, Abbott repaid the €590 million outstanding principal amount of its 0.10% Notes upon maturity. The repayment equated to approximately $640 million. On November 30, 2023, Abbott repaid the $1.05 billion outstanding principal amount of its 3.40% Notes upon maturity. On September 27, 2023, Abbott repaid the €1.14 billion outstanding principal amount of its 0.875% Notes upon maturity. The repayment equated to approximately $1.2 billion. In September 2023, Abbott repaid approximately $197 million of debt assumed as part of a recent business acquisition.</w:t>
      </w:r>
    </w:p>
    <w:p>
      <w:pPr>
        <w:spacing w:after="0" w:line="7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In 2024, Abbott modified its existing, yen-denominated 5-year term loan scheduled to mature in November 2024. The amended terms included a net increase in principal debt from ¥59.8 billion to ¥92.0 billion, with a new maturity date in June 2029. The modified, 5-year term loan bears interest at the Tokyo Interbank Offered Rate (TIBOR) plus a fixed spread, and the interest rate is reset quarterly. The net proceeds equated to approximately $201 million.</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Abbott has readily available financial resources, including unused lines of credit that support commercial paper borrowing arrangements and provide Abbott with the ability to borrow up to $5 billion on an unsecured basis. In 2024, Abbott terminated its 2020 Five Year Credit Agreement (2020 Agreement) and entered into a new Five Year Credit Agreement (Revolving Credit Agreement). There were no outstanding borrowings under the 2020 Agreement at the time of its termination. Any borrowings under the Revolving Credit Agreement will mature and be payable on January 29, 2029, and will bear interest, at Abbott’s option, based on either a base rate or Secured Overnight Financing Rate (SOFR), plus an applicable margin based on Abbott’s credit ratings.</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Principal payments required on long-term debt outstanding at December 31, 2025, are $3.0 billion in 2026, $700 million in 2027, $653 million in 2028, $591 million in 2029, $650 million in 2030, and $7.4 billion in 2031 and thereafter.</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2025, Abbott’s long-term debt rating was AA- by S&amp;P Global Ratings and Aa3 by Moody’s Investors Service. Abbott expects to maintain an investment grade rating.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 where Abbott is the Lessee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Abbott has entered into operating leases as the lessee for office space, manufacturing facilities, R&amp;D laboratories, warehouses, vehicles, and equipment. Finance leases are not significant. Abbott’s operating leases generally have remaining lease terms of 1 to 10 years. Some leases include options to extend beyond the original lease term, generally up to 10 years and some include options to terminate early. These options have been included in the determination of the lease liability when it is reasonably certain that the option will be exercised.</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all of its asset classes, Abbott elected the practical expedient allowed under FASB ASC No. 842, “Leases” to account for each lease component (e.g., the right to use office space) and the associated non-lease components (e.g., maintenance services) as a single lease component. Abbott also elected the short-term lease accounting policy for all asset classes; therefore, Abbott is not recognizing a lease liability or right of use (ROU) asset for any lease that, at the commencement date, has a lease term of 12 months or less and does not include an option to purchase the underlying asset that Abbott is reasonably certain to exercise.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Abbott’s leases typically do not provide an implicit rate, the interest rate used to determine the present value of the payments under each lease typically reflects Abbott’s incremental borrowing rate based on information available at the lease commencement date.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related to Abbott’s operating leases: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weighted averages)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 (a)</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356</w:t>
            </w:r>
          </w:p>
        </w:tc>
      </w:tr>
      <w:tr>
        <w:trPr>
          <w:trHeight w:val="22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00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276</w:t>
            </w:r>
          </w:p>
        </w:tc>
      </w:tr>
      <w:tr>
        <w:trPr>
          <w:trHeight w:val="230"/>
        </w:trPr>
        <w:tc>
          <w:tcPr>
            <w:tcW w:w="6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ROU assets arising from entering into new operating lease obligations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253</w:t>
            </w:r>
          </w:p>
        </w:tc>
      </w:tr>
      <w:tr>
        <w:trPr>
          <w:trHeight w:val="22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at December 31 (in years)</w:t>
            </w:r>
          </w:p>
        </w:tc>
        <w:tc>
          <w:tcPr>
            <w:tcW w:w="1000" w:type="dxa"/>
            <w:vAlign w:val="bottom"/>
          </w:tcPr>
          <w:p>
            <w:pPr>
              <w:spacing w:after="0"/>
              <w:rPr>
                <w:sz w:val="19"/>
                <w:szCs w:val="19"/>
                <w:color w:val="auto"/>
              </w:rPr>
            </w:pPr>
          </w:p>
        </w:tc>
        <w:tc>
          <w:tcPr>
            <w:tcW w:w="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6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at December 31</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w:t>
      </w:r>
    </w:p>
    <w:p>
      <w:pPr>
        <w:spacing w:after="0" w:line="163" w:lineRule="exact"/>
        <w:rPr>
          <w:sz w:val="20"/>
          <w:szCs w:val="20"/>
          <w:color w:val="auto"/>
        </w:rPr>
      </w:pPr>
    </w:p>
    <w:p>
      <w:pPr>
        <w:ind w:left="480" w:hanging="454"/>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short-term lease expense and variable lease costs, which were immaterial in the years ended December 31, 2025,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operating leases as of December 31, 2025,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
        </w:trPr>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40" w:type="dxa"/>
            <w:vAlign w:val="bottom"/>
            <w:tcBorders>
              <w:bottom w:val="single" w:sz="8" w:color="CFF0FC"/>
            </w:tcBorders>
          </w:tcPr>
          <w:p>
            <w:pPr>
              <w:spacing w:after="0"/>
              <w:rPr>
                <w:sz w:val="2"/>
                <w:szCs w:val="2"/>
                <w:color w:val="auto"/>
              </w:rPr>
            </w:pPr>
          </w:p>
        </w:tc>
        <w:tc>
          <w:tcPr>
            <w:tcW w:w="840" w:type="dxa"/>
            <w:vAlign w:val="bottom"/>
            <w:tcBorders>
              <w:bottom w:val="single" w:sz="8" w:color="CFF0FC"/>
            </w:tcBorders>
          </w:tcPr>
          <w:p>
            <w:pPr>
              <w:spacing w:after="0"/>
              <w:rPr>
                <w:sz w:val="2"/>
                <w:szCs w:val="2"/>
                <w:color w:val="auto"/>
              </w:rPr>
            </w:pPr>
          </w:p>
        </w:tc>
      </w:tr>
      <w:tr>
        <w:trPr>
          <w:trHeight w:val="223"/>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3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9"/>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9"/>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258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9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23"/>
        </w:trPr>
        <w:tc>
          <w:tcPr>
            <w:tcW w:w="414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 – undiscounted</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w:t>
            </w:r>
          </w:p>
        </w:tc>
      </w:tr>
      <w:tr>
        <w:trPr>
          <w:trHeight w:val="230"/>
        </w:trPr>
        <w:tc>
          <w:tcPr>
            <w:tcW w:w="2580" w:type="dxa"/>
            <w:vAlign w:val="bottom"/>
            <w:tcBorders>
              <w:bottom w:val="single" w:sz="8" w:color="CFF0FC"/>
            </w:tcBorders>
            <w:gridSpan w:val="2"/>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9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48"/>
        </w:trPr>
        <w:tc>
          <w:tcPr>
            <w:tcW w:w="25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9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20"/>
        </w:trPr>
        <w:tc>
          <w:tcPr>
            <w:tcW w:w="248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tcBorders>
            <w:gridSpan w:val="3"/>
          </w:tcPr>
          <w:p>
            <w:pPr>
              <w:spacing w:after="0" w:line="20" w:lineRule="exact"/>
              <w:rPr>
                <w:sz w:val="1"/>
                <w:szCs w:val="1"/>
                <w:color w:val="auto"/>
              </w:rPr>
            </w:pPr>
          </w:p>
        </w:tc>
        <w:tc>
          <w:tcPr>
            <w:tcW w:w="1680" w:type="dxa"/>
            <w:vAlign w:val="bottom"/>
            <w:tcBorders>
              <w:top w:val="single" w:sz="8" w:color="CFF0FC"/>
            </w:tcBorders>
            <w:gridSpan w:val="4"/>
          </w:tcPr>
          <w:p>
            <w:pPr>
              <w:spacing w:after="0" w:line="20" w:lineRule="exact"/>
              <w:rPr>
                <w:sz w:val="1"/>
                <w:szCs w:val="1"/>
                <w:color w:val="auto"/>
              </w:rPr>
            </w:pPr>
          </w:p>
        </w:tc>
        <w:tc>
          <w:tcPr>
            <w:tcW w:w="39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r>
      <w:tr>
        <w:trPr>
          <w:trHeight w:val="379"/>
        </w:trPr>
        <w:tc>
          <w:tcPr>
            <w:tcW w:w="10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table summarizes the amounts and location of operating lease ROU assets and lease liabilities:</w:t>
            </w:r>
          </w:p>
        </w:tc>
        <w:tc>
          <w:tcPr>
            <w:tcW w:w="840" w:type="dxa"/>
            <w:vAlign w:val="bottom"/>
          </w:tcPr>
          <w:p>
            <w:pPr>
              <w:spacing w:after="0"/>
              <w:rPr>
                <w:sz w:val="24"/>
                <w:szCs w:val="24"/>
                <w:color w:val="auto"/>
              </w:rPr>
            </w:pPr>
          </w:p>
        </w:tc>
      </w:tr>
      <w:tr>
        <w:trPr>
          <w:trHeight w:val="314"/>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24"/>
                <w:szCs w:val="24"/>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4"/>
                <w:szCs w:val="24"/>
                <w:color w:val="auto"/>
              </w:rPr>
            </w:pPr>
          </w:p>
        </w:tc>
        <w:tc>
          <w:tcPr>
            <w:tcW w:w="4680" w:type="dxa"/>
            <w:vAlign w:val="bottom"/>
            <w:gridSpan w:val="3"/>
          </w:tcPr>
          <w:p>
            <w:pPr>
              <w:ind w:left="2060"/>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840" w:type="dxa"/>
            <w:vAlign w:val="bottom"/>
          </w:tcPr>
          <w:p>
            <w:pPr>
              <w:spacing w:after="0"/>
              <w:rPr>
                <w:sz w:val="24"/>
                <w:szCs w:val="24"/>
                <w:color w:val="auto"/>
              </w:rPr>
            </w:pPr>
          </w:p>
        </w:tc>
      </w:tr>
      <w:tr>
        <w:trPr>
          <w:trHeight w:val="23"/>
        </w:trPr>
        <w:tc>
          <w:tcPr>
            <w:tcW w:w="2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2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4"/>
        </w:trPr>
        <w:tc>
          <w:tcPr>
            <w:tcW w:w="25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 ROU Asset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Borders>
              <w:bottom w:val="single" w:sz="8" w:color="CFF0FC"/>
            </w:tcBorders>
            <w:shd w:val="clear" w:color="auto" w:fill="CFF0FC"/>
          </w:tcPr>
          <w:p>
            <w:pPr>
              <w:spacing w:after="0"/>
              <w:rPr>
                <w:sz w:val="21"/>
                <w:szCs w:val="21"/>
                <w:color w:val="auto"/>
              </w:rPr>
            </w:pPr>
          </w:p>
        </w:tc>
        <w:tc>
          <w:tcPr>
            <w:tcW w:w="46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assets</w:t>
            </w:r>
          </w:p>
        </w:tc>
        <w:tc>
          <w:tcPr>
            <w:tcW w:w="840" w:type="dxa"/>
            <w:vAlign w:val="bottom"/>
            <w:tcBorders>
              <w:bottom w:val="single" w:sz="8" w:color="CFF0FC"/>
            </w:tcBorders>
            <w:shd w:val="clear" w:color="auto" w:fill="CFF0FC"/>
          </w:tcPr>
          <w:p>
            <w:pPr>
              <w:spacing w:after="0"/>
              <w:rPr>
                <w:sz w:val="21"/>
                <w:szCs w:val="21"/>
                <w:color w:val="auto"/>
              </w:rPr>
            </w:pPr>
          </w:p>
        </w:tc>
      </w:tr>
      <w:tr>
        <w:trPr>
          <w:trHeight w:val="20"/>
        </w:trPr>
        <w:tc>
          <w:tcPr>
            <w:tcW w:w="24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9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r>
      <w:tr>
        <w:trPr>
          <w:trHeight w:val="217"/>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2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r>
      <w:tr>
        <w:trPr>
          <w:trHeight w:val="230"/>
        </w:trPr>
        <w:tc>
          <w:tcPr>
            <w:tcW w:w="2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4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840" w:type="dxa"/>
            <w:vAlign w:val="bottom"/>
          </w:tcPr>
          <w:p>
            <w:pPr>
              <w:spacing w:after="0"/>
              <w:rPr>
                <w:sz w:val="19"/>
                <w:szCs w:val="19"/>
                <w:color w:val="auto"/>
              </w:rPr>
            </w:pPr>
          </w:p>
        </w:tc>
      </w:tr>
      <w:tr>
        <w:trPr>
          <w:trHeight w:val="229"/>
        </w:trPr>
        <w:tc>
          <w:tcPr>
            <w:tcW w:w="25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Non-current</w:t>
            </w:r>
          </w:p>
        </w:tc>
        <w:tc>
          <w:tcPr>
            <w:tcW w:w="1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FF0FC"/>
          </w:tcPr>
          <w:p>
            <w:pPr>
              <w:spacing w:after="0"/>
              <w:rPr>
                <w:sz w:val="19"/>
                <w:szCs w:val="19"/>
                <w:color w:val="auto"/>
              </w:rPr>
            </w:pPr>
          </w:p>
        </w:tc>
        <w:tc>
          <w:tcPr>
            <w:tcW w:w="46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Post-employment obligations and other long-term liabilities</w:t>
            </w:r>
          </w:p>
        </w:tc>
        <w:tc>
          <w:tcPr>
            <w:tcW w:w="840" w:type="dxa"/>
            <w:vAlign w:val="bottom"/>
            <w:shd w:val="clear" w:color="auto" w:fill="CFF0FC"/>
          </w:tcPr>
          <w:p>
            <w:pPr>
              <w:spacing w:after="0"/>
              <w:rPr>
                <w:sz w:val="19"/>
                <w:szCs w:val="19"/>
                <w:color w:val="auto"/>
              </w:rPr>
            </w:pPr>
          </w:p>
        </w:tc>
      </w:tr>
      <w:tr>
        <w:trPr>
          <w:trHeight w:val="223"/>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 (Continued)</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 where Abbott is the Lessor</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assets, primarily diagnostic instruments, are leased to customers under contractual arrangements that typically include an operating or sales-type lease as well as performance obligations for reagents and other consumables. Sales-type leases are not significant. Contract terms vary by customer and may include options to terminate the contract or options to extend the contract. Where instruments are provided under operating lease arrangements, some portion or the entire lease revenue may be variable and subject to subsequent non-lease component (e.g., reagent) sales. The allocation of revenue between the lease and non-lease components is based on standalone selling prices. Operating lease revenue represented less than 3 percent of Abbott’s total net sales in the years ended December 31, 2025, 2024, and 2023.</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Assets related to operating leases are reported within Net property and equipment on the Consolidated Balance Sheet. The original cost and the net book value of such assets were $4.6 billion and $2.1 billion, respectively, as of December 31, 2025, and $3.9 billion and $1.8 billion, respectively, as of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Financial Instruments, Derivatives, and Fair Value Measures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Abbott foreign subsidiaries enter into foreign currency forward exchange contracts to manage exposures to changes in foreign exchange rates, primarily related to anticipated intercompany purchases by subsidiaries whose functional currencies are not the U.S. dollar. These contracts, with gross notional amounts totaling $7.4 billion at December 31, 2025, and $7.0 billion at December 31, 2024, are designated as cash flow hedges of the variability of the cash flows due to changes in foreign exchange rates and are recorded at fair value. Accumulated gains and losses as of December 31, 2025, will be included in Cost of products sold at the time the products are sold, generally through the next twelve to eighteen months.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Abbott enters into foreign currency forward exchange contracts to manage currency exposures for foreign currency denominated third-party trade payables and receivables, and for intercompany loans and trade accounts payable where the receivable or payable is denominated in a currency other than the functional currency of the entity. For intercompany loans, the contracts require Abbott to sell or buy foreign currencies, primarily European currencies, in exchange for primarily U.S. dollars and European currencies. For intercompany and trade payables and receivables, the currency exposures are primarily the U.S. dollar and European currencies. At December 31, 2025, and 2024, Abbott held gross notional amounts of $13.1 billion and $16.2 billion, respectively, of such foreign currency forward exchange contracts.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Abbott has designated a yen-denominated, 5-year term loan of $589 million and $583 million as of December 31, 2025, and December 31, 2024, respectively, as a hedge of the net investment in certain foreign subsidiaries. The change in the value of the debt is due to changes in foreign exchange rates, recorded in Accumulated other comprehensive income (loss), net of tax.</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Abbott is a party to interest rate hedge contracts to manage its exposure to changes in the fair value of fixed-rate debt. These contracts are designated as fair value hedges of the variability of the fair value of fixed-rate debt due to changes in the long-term benchmark interest rates. The effect of the hedge is to change a fixed-rate interest obligation to a variable rate for that portion of the debt. Abbott records the contracts at fair value and adjusts the carrying amount of the fixed-rate debt by an offsetting amount. Abbott had interest rate contracts totaling $1.2 billion at December 31, 2025, and $2.2 billion at December 31, 2024.</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Financial Instruments, Derivatives, and Fair Value Measures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amounts and location of certain derivative financial instruments as of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Fair Value — Assets</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 Liabilities</w:t>
            </w:r>
          </w:p>
        </w:tc>
        <w:tc>
          <w:tcPr>
            <w:tcW w:w="0" w:type="dxa"/>
            <w:vAlign w:val="bottom"/>
          </w:tcPr>
          <w:p>
            <w:pPr>
              <w:spacing w:after="0"/>
              <w:rPr>
                <w:sz w:val="1"/>
                <w:szCs w:val="1"/>
                <w:color w:val="auto"/>
              </w:rPr>
            </w:pPr>
          </w:p>
        </w:tc>
      </w:tr>
      <w:tr>
        <w:trPr>
          <w:trHeight w:val="23"/>
        </w:trPr>
        <w:tc>
          <w:tcPr>
            <w:tcW w:w="2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60" w:type="dxa"/>
            <w:vAlign w:val="bottom"/>
            <w:gridSpan w:val="2"/>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0" w:type="dxa"/>
            <w:vAlign w:val="bottom"/>
          </w:tcPr>
          <w:p>
            <w:pPr>
              <w:spacing w:after="0"/>
              <w:rPr>
                <w:sz w:val="1"/>
                <w:szCs w:val="1"/>
                <w:color w:val="auto"/>
              </w:rPr>
            </w:pPr>
          </w:p>
        </w:tc>
      </w:tr>
      <w:tr>
        <w:trPr>
          <w:trHeight w:val="175"/>
        </w:trPr>
        <w:tc>
          <w:tcPr>
            <w:tcW w:w="2260" w:type="dxa"/>
            <w:vAlign w:val="bottom"/>
            <w:tcBorders>
              <w:top w:val="single" w:sz="8" w:color="auto"/>
            </w:tcBorders>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rate swaps designated</w:t>
            </w:r>
          </w:p>
        </w:tc>
        <w:tc>
          <w:tcPr>
            <w:tcW w:w="10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23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202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as fair value hedges:</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36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Non-current</w:t>
            </w:r>
          </w:p>
        </w:tc>
        <w:tc>
          <w:tcPr>
            <w:tcW w:w="24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24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Deferred income taxes and</w:t>
            </w:r>
          </w:p>
        </w:tc>
        <w:tc>
          <w:tcPr>
            <w:tcW w:w="24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5"/>
                <w:szCs w:val="15"/>
                <w:color w:val="auto"/>
              </w:rPr>
            </w:pPr>
          </w:p>
        </w:tc>
        <w:tc>
          <w:tcPr>
            <w:tcW w:w="2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Post-employment</w:t>
            </w:r>
          </w:p>
        </w:tc>
        <w:tc>
          <w:tcPr>
            <w:tcW w:w="0" w:type="dxa"/>
            <w:vAlign w:val="bottom"/>
          </w:tcPr>
          <w:p>
            <w:pPr>
              <w:spacing w:after="0"/>
              <w:rPr>
                <w:sz w:val="1"/>
                <w:szCs w:val="1"/>
                <w:color w:val="auto"/>
              </w:rPr>
            </w:pPr>
          </w:p>
        </w:tc>
      </w:tr>
      <w:tr>
        <w:trPr>
          <w:trHeight w:val="184"/>
        </w:trPr>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obligations and other long-</w:t>
            </w: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liabilities</w:t>
            </w:r>
          </w:p>
        </w:tc>
        <w:tc>
          <w:tcPr>
            <w:tcW w:w="0" w:type="dxa"/>
            <w:vAlign w:val="bottom"/>
          </w:tcPr>
          <w:p>
            <w:pPr>
              <w:spacing w:after="0"/>
              <w:rPr>
                <w:sz w:val="1"/>
                <w:szCs w:val="1"/>
                <w:color w:val="auto"/>
              </w:rPr>
            </w:pPr>
          </w:p>
        </w:tc>
      </w:tr>
      <w:tr>
        <w:trPr>
          <w:trHeight w:val="175"/>
        </w:trPr>
        <w:tc>
          <w:tcPr>
            <w:tcW w:w="2360" w:type="dxa"/>
            <w:vAlign w:val="bottom"/>
            <w:gridSpan w:val="2"/>
            <w:shd w:val="clear" w:color="auto" w:fill="CFF0FC"/>
          </w:tcPr>
          <w:p>
            <w:pPr>
              <w:ind w:left="240"/>
              <w:spacing w:after="0" w:line="176" w:lineRule="exact"/>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5"/>
                <w:szCs w:val="15"/>
                <w:color w:val="auto"/>
              </w:rPr>
            </w:pPr>
          </w:p>
        </w:tc>
        <w:tc>
          <w:tcPr>
            <w:tcW w:w="2420" w:type="dxa"/>
            <w:vAlign w:val="bottom"/>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5"/>
                <w:szCs w:val="15"/>
                <w:color w:val="auto"/>
              </w:rPr>
            </w:pPr>
          </w:p>
        </w:tc>
        <w:tc>
          <w:tcPr>
            <w:tcW w:w="2020" w:type="dxa"/>
            <w:vAlign w:val="bottom"/>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accrued liabilities</w:t>
            </w:r>
          </w:p>
        </w:tc>
        <w:tc>
          <w:tcPr>
            <w:tcW w:w="0" w:type="dxa"/>
            <w:vAlign w:val="bottom"/>
          </w:tcPr>
          <w:p>
            <w:pPr>
              <w:spacing w:after="0"/>
              <w:rPr>
                <w:sz w:val="1"/>
                <w:szCs w:val="1"/>
                <w:color w:val="auto"/>
              </w:rPr>
            </w:pPr>
          </w:p>
        </w:tc>
      </w:tr>
      <w:tr>
        <w:trPr>
          <w:trHeight w:val="243"/>
        </w:trPr>
        <w:tc>
          <w:tcPr>
            <w:tcW w:w="2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3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 forward</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exchange contracts:</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360" w:type="dxa"/>
            <w:vAlign w:val="bottom"/>
            <w:gridSpan w:val="2"/>
            <w:shd w:val="clear" w:color="auto" w:fill="CFF0FC"/>
          </w:tcPr>
          <w:p>
            <w:pPr>
              <w:ind w:left="180"/>
              <w:spacing w:after="0" w:line="180" w:lineRule="exact"/>
              <w:rPr>
                <w:sz w:val="20"/>
                <w:szCs w:val="20"/>
                <w:color w:val="auto"/>
              </w:rPr>
            </w:pPr>
            <w:r>
              <w:rPr>
                <w:rFonts w:ascii="Times New Roman" w:cs="Times New Roman" w:eastAsia="Times New Roman" w:hAnsi="Times New Roman"/>
                <w:sz w:val="18"/>
                <w:szCs w:val="18"/>
                <w:color w:val="auto"/>
              </w:rPr>
              <w:t>Hedging instruments</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FF0FC"/>
          </w:tcPr>
          <w:p>
            <w:pPr>
              <w:spacing w:after="0"/>
              <w:rPr>
                <w:sz w:val="15"/>
                <w:szCs w:val="15"/>
                <w:color w:val="auto"/>
              </w:rPr>
            </w:pPr>
          </w:p>
        </w:tc>
        <w:tc>
          <w:tcPr>
            <w:tcW w:w="2420" w:type="dxa"/>
            <w:vAlign w:val="bottom"/>
            <w:gridSpan w:val="2"/>
            <w:shd w:val="clear" w:color="auto" w:fill="CFF0FC"/>
          </w:tcPr>
          <w:p>
            <w:pPr>
              <w:spacing w:after="0" w:line="180" w:lineRule="exact"/>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8"/>
                <w:szCs w:val="18"/>
                <w:color w:val="auto"/>
              </w:rPr>
              <w:t>231</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5"/>
                <w:szCs w:val="15"/>
                <w:color w:val="auto"/>
              </w:rPr>
            </w:pPr>
          </w:p>
        </w:tc>
        <w:tc>
          <w:tcPr>
            <w:tcW w:w="20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8"/>
                <w:szCs w:val="18"/>
                <w:color w:val="auto"/>
              </w:rPr>
              <w:t>Other accrued liabilities</w:t>
            </w:r>
          </w:p>
        </w:tc>
        <w:tc>
          <w:tcPr>
            <w:tcW w:w="0" w:type="dxa"/>
            <w:vAlign w:val="bottom"/>
          </w:tcPr>
          <w:p>
            <w:pPr>
              <w:spacing w:after="0"/>
              <w:rPr>
                <w:sz w:val="1"/>
                <w:szCs w:val="1"/>
                <w:color w:val="auto"/>
              </w:rPr>
            </w:pPr>
          </w:p>
        </w:tc>
      </w:tr>
      <w:tr>
        <w:trPr>
          <w:trHeight w:val="243"/>
        </w:trPr>
        <w:tc>
          <w:tcPr>
            <w:tcW w:w="2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36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Others not designated as</w:t>
            </w:r>
          </w:p>
        </w:tc>
        <w:tc>
          <w:tcPr>
            <w:tcW w:w="24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5"/>
                <w:szCs w:val="15"/>
                <w:color w:val="auto"/>
              </w:rPr>
            </w:pPr>
          </w:p>
        </w:tc>
        <w:tc>
          <w:tcPr>
            <w:tcW w:w="24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5"/>
                <w:szCs w:val="15"/>
                <w:color w:val="auto"/>
              </w:rPr>
            </w:pPr>
          </w:p>
        </w:tc>
        <w:tc>
          <w:tcPr>
            <w:tcW w:w="2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accrued liabilities</w:t>
            </w:r>
          </w:p>
        </w:tc>
        <w:tc>
          <w:tcPr>
            <w:tcW w:w="0" w:type="dxa"/>
            <w:vAlign w:val="bottom"/>
          </w:tcPr>
          <w:p>
            <w:pPr>
              <w:spacing w:after="0"/>
              <w:rPr>
                <w:sz w:val="1"/>
                <w:szCs w:val="1"/>
                <w:color w:val="auto"/>
              </w:rPr>
            </w:pPr>
          </w:p>
        </w:tc>
      </w:tr>
      <w:tr>
        <w:trPr>
          <w:trHeight w:val="239"/>
        </w:trPr>
        <w:tc>
          <w:tcPr>
            <w:tcW w:w="2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hedges</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360" w:type="dxa"/>
            <w:vAlign w:val="bottom"/>
            <w:gridSpan w:val="2"/>
            <w:shd w:val="clear" w:color="auto" w:fill="CFF0FC"/>
          </w:tcPr>
          <w:p>
            <w:pPr>
              <w:ind w:left="20"/>
              <w:spacing w:after="0" w:line="180" w:lineRule="exact"/>
              <w:rPr>
                <w:sz w:val="20"/>
                <w:szCs w:val="20"/>
                <w:color w:val="auto"/>
              </w:rPr>
            </w:pPr>
            <w:r>
              <w:rPr>
                <w:rFonts w:ascii="Times New Roman" w:cs="Times New Roman" w:eastAsia="Times New Roman" w:hAnsi="Times New Roman"/>
                <w:sz w:val="18"/>
                <w:szCs w:val="18"/>
                <w:color w:val="auto"/>
              </w:rPr>
              <w:t>Debt designated as a hedge of</w:t>
            </w:r>
          </w:p>
        </w:tc>
        <w:tc>
          <w:tcPr>
            <w:tcW w:w="2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5"/>
                <w:szCs w:val="15"/>
                <w:color w:val="auto"/>
              </w:rPr>
            </w:pPr>
          </w:p>
        </w:tc>
        <w:tc>
          <w:tcPr>
            <w:tcW w:w="2420" w:type="dxa"/>
            <w:vAlign w:val="bottom"/>
            <w:gridSpan w:val="2"/>
            <w:shd w:val="clear" w:color="auto" w:fill="CFF0FC"/>
          </w:tcPr>
          <w:p>
            <w:pPr>
              <w:spacing w:after="0" w:line="180" w:lineRule="exact"/>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8"/>
                <w:szCs w:val="18"/>
                <w:color w:val="auto"/>
              </w:rPr>
              <w:t>589</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FF0FC"/>
          </w:tcPr>
          <w:p>
            <w:pPr>
              <w:spacing w:after="0"/>
              <w:rPr>
                <w:sz w:val="15"/>
                <w:szCs w:val="15"/>
                <w:color w:val="auto"/>
              </w:rPr>
            </w:pPr>
          </w:p>
        </w:tc>
        <w:tc>
          <w:tcPr>
            <w:tcW w:w="20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8"/>
                <w:szCs w:val="18"/>
                <w:color w:val="auto"/>
              </w:rPr>
              <w:t>Long-term debt</w:t>
            </w:r>
          </w:p>
        </w:tc>
        <w:tc>
          <w:tcPr>
            <w:tcW w:w="0" w:type="dxa"/>
            <w:vAlign w:val="bottom"/>
          </w:tcPr>
          <w:p>
            <w:pPr>
              <w:spacing w:after="0"/>
              <w:rPr>
                <w:sz w:val="1"/>
                <w:szCs w:val="1"/>
                <w:color w:val="auto"/>
              </w:rPr>
            </w:pPr>
          </w:p>
        </w:tc>
      </w:tr>
      <w:tr>
        <w:trPr>
          <w:trHeight w:val="184"/>
        </w:trPr>
        <w:tc>
          <w:tcPr>
            <w:tcW w:w="2360" w:type="dxa"/>
            <w:vAlign w:val="bottom"/>
            <w:gridSpan w:val="2"/>
            <w:shd w:val="clear" w:color="auto" w:fill="CFF0FC"/>
          </w:tcPr>
          <w:p>
            <w:pPr>
              <w:ind w:left="180"/>
              <w:spacing w:after="0" w:line="184" w:lineRule="exact"/>
              <w:rPr>
                <w:sz w:val="20"/>
                <w:szCs w:val="20"/>
                <w:color w:val="auto"/>
              </w:rPr>
            </w:pPr>
            <w:r>
              <w:rPr>
                <w:rFonts w:ascii="Times New Roman" w:cs="Times New Roman" w:eastAsia="Times New Roman" w:hAnsi="Times New Roman"/>
                <w:sz w:val="18"/>
                <w:szCs w:val="18"/>
                <w:color w:val="auto"/>
              </w:rPr>
              <w:t>net investment in a foreign</w:t>
            </w:r>
          </w:p>
        </w:tc>
        <w:tc>
          <w:tcPr>
            <w:tcW w:w="2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subsidiary</w:t>
            </w:r>
          </w:p>
        </w:tc>
        <w:tc>
          <w:tcPr>
            <w:tcW w:w="2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activity for foreign currency forward exchange contracts designated as cash flow hedges, debt designated as a hedge of net investment in a foreign subsidiary and certain other derivative financial instruments, as well as the amounts and location of income (expense) and gain (loss) reclassified into income.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61" w:lineRule="exact"/>
        <w:rPr>
          <w:sz w:val="20"/>
          <w:szCs w:val="20"/>
          <w:color w:val="auto"/>
        </w:rPr>
      </w:pPr>
    </w:p>
    <w:p>
      <w:pPr>
        <w:jc w:val="both"/>
        <w:ind w:left="180" w:right="60" w:hanging="161"/>
        <w:spacing w:after="0" w:line="226" w:lineRule="auto"/>
        <w:rPr>
          <w:sz w:val="20"/>
          <w:szCs w:val="20"/>
          <w:color w:val="auto"/>
        </w:rPr>
      </w:pPr>
      <w:r>
        <w:rPr>
          <w:rFonts w:ascii="Times New Roman" w:cs="Times New Roman" w:eastAsia="Times New Roman" w:hAnsi="Times New Roman"/>
          <w:sz w:val="18"/>
          <w:szCs w:val="18"/>
          <w:color w:val="auto"/>
        </w:rPr>
        <w:t>Foreign currency forward exchange contracts designated as cash flow hedges</w:t>
      </w:r>
    </w:p>
    <w:p>
      <w:pPr>
        <w:spacing w:after="0" w:line="9" w:lineRule="exact"/>
        <w:rPr>
          <w:sz w:val="20"/>
          <w:szCs w:val="20"/>
          <w:color w:val="auto"/>
        </w:rPr>
      </w:pPr>
    </w:p>
    <w:p>
      <w:pPr>
        <w:ind w:left="180" w:right="20" w:hanging="161"/>
        <w:spacing w:after="0" w:line="237" w:lineRule="auto"/>
        <w:rPr>
          <w:sz w:val="20"/>
          <w:szCs w:val="20"/>
          <w:color w:val="auto"/>
        </w:rPr>
      </w:pPr>
      <w:r>
        <w:rPr>
          <w:rFonts w:ascii="Times New Roman" w:cs="Times New Roman" w:eastAsia="Times New Roman" w:hAnsi="Times New Roman"/>
          <w:sz w:val="18"/>
          <w:szCs w:val="18"/>
          <w:color w:val="auto"/>
        </w:rPr>
        <w:t>Debt designated as a hedge of net investment in a foreign subsidiary</w:t>
      </w:r>
    </w:p>
    <w:p>
      <w:pPr>
        <w:spacing w:after="0" w:line="10" w:lineRule="exact"/>
        <w:rPr>
          <w:sz w:val="20"/>
          <w:szCs w:val="20"/>
          <w:color w:val="auto"/>
        </w:rPr>
      </w:pPr>
    </w:p>
    <w:p>
      <w:pPr>
        <w:ind w:left="180" w:hanging="161"/>
        <w:spacing w:after="0" w:line="237" w:lineRule="auto"/>
        <w:rPr>
          <w:sz w:val="20"/>
          <w:szCs w:val="20"/>
          <w:color w:val="auto"/>
        </w:rPr>
      </w:pPr>
      <w:r>
        <w:rPr>
          <w:rFonts w:ascii="Times New Roman" w:cs="Times New Roman" w:eastAsia="Times New Roman" w:hAnsi="Times New Roman"/>
          <w:sz w:val="18"/>
          <w:szCs w:val="18"/>
          <w:color w:val="auto"/>
        </w:rPr>
        <w:t>Interest rate swaps designated as fair value hedges</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Gain (loss) Recognized in Other</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2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Income (expense) and Gain (loss) Reclassified into Income</w:t>
            </w:r>
          </w:p>
        </w:tc>
        <w:tc>
          <w:tcPr>
            <w:tcW w:w="0" w:type="dxa"/>
            <w:vAlign w:val="bottom"/>
          </w:tcPr>
          <w:p>
            <w:pPr>
              <w:spacing w:after="0"/>
              <w:rPr>
                <w:sz w:val="1"/>
                <w:szCs w:val="1"/>
                <w:color w:val="auto"/>
              </w:rPr>
            </w:pPr>
          </w:p>
        </w:tc>
      </w:tr>
      <w:tr>
        <w:trPr>
          <w:trHeight w:val="196"/>
        </w:trPr>
        <w:tc>
          <w:tcPr>
            <w:tcW w:w="26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2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7"/>
                <w:szCs w:val="17"/>
                <w:color w:val="auto"/>
              </w:rPr>
            </w:pPr>
          </w:p>
        </w:tc>
        <w:tc>
          <w:tcPr>
            <w:tcW w:w="298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Income Statement Caption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-8255</wp:posOffset>
            </wp:positionV>
            <wp:extent cx="7132320" cy="3860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(282)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w:t>
            </w:r>
          </w:p>
        </w:tc>
        <w:tc>
          <w:tcPr>
            <w:tcW w:w="16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Cost of products sold</w:t>
            </w:r>
          </w:p>
        </w:tc>
      </w:tr>
      <w:tr>
        <w:trPr>
          <w:trHeight w:val="418"/>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24"/>
                <w:szCs w:val="24"/>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Pr>
          <w:p>
            <w:pPr>
              <w:spacing w:after="0"/>
              <w:rPr>
                <w:sz w:val="24"/>
                <w:szCs w:val="24"/>
                <w:color w:val="auto"/>
              </w:rPr>
            </w:pPr>
          </w:p>
        </w:tc>
        <w:tc>
          <w:tcPr>
            <w:tcW w:w="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w:t>
            </w:r>
          </w:p>
        </w:tc>
      </w:tr>
      <w:tr>
        <w:trPr>
          <w:trHeight w:val="418"/>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spacing w:after="0"/>
              <w:rPr>
                <w:sz w:val="24"/>
                <w:szCs w:val="24"/>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tcPr>
          <w:p>
            <w:pPr>
              <w:spacing w:after="0"/>
              <w:rPr>
                <w:sz w:val="24"/>
                <w:szCs w:val="24"/>
                <w:color w:val="auto"/>
              </w:rPr>
            </w:pPr>
          </w:p>
        </w:tc>
        <w:tc>
          <w:tcPr>
            <w:tcW w:w="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24"/>
                <w:szCs w:val="24"/>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Pr>
          <w:p>
            <w:pPr>
              <w:spacing w:after="0"/>
              <w:rPr>
                <w:sz w:val="24"/>
                <w:szCs w:val="24"/>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-264795</wp:posOffset>
            </wp:positionV>
            <wp:extent cx="7132320" cy="265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2660" w:space="380"/>
            <w:col w:w="8200"/>
          </w:cols>
          <w:pgMar w:left="320" w:top="121" w:right="339" w:bottom="1440" w:gutter="0" w:footer="0" w:header="0"/>
          <w:type w:val="continuous"/>
        </w:sect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Gains of $104 million and $131 million, and a loss of $44 million were recognized in 2025, 2024, and 2023, respectively, related to foreign currency forward exchange contracts not designated as hedges. These amounts are reported in the Consolidated Statement of Earnings on the Net foreign exchange (gain) loss line.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interest rate swaps are designated as fair value hedges of the variability of the fair value of fixed-rate debt due to changes in the long-term benchmark interest rates. The hedged debt is marked to market, offsetting the effect of marking the interest rate swaps to market.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values and fair values of certain financial instruments as of December 31 are shown in the table below. The carrying values of all other financial instruments approximate their estimated fair values. The counterparties to financial instruments consist of select major international financial institutions. Abbott does not expect any losses from nonperformance by these counterparties.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Financial Instruments, Derivatives, and Fair Value Measures (Continued)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gridSpan w:val="2"/>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9"/>
        </w:trPr>
        <w:tc>
          <w:tcPr>
            <w:tcW w:w="49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 Securities:</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(13,710)</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Forward Exchange Contracts:</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Receivable position</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(Payable) position</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9"/>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Hedge Contracts:</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Receivable position</w:t>
            </w: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5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(Payable) position</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debt was determined based on significant other observable inputs, including current interest rates.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bases used to measure certain assets and liabilities at fair value on a recurring basis in the balance sheet: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gridSpan w:val="6"/>
          </w:tcPr>
          <w:p>
            <w:pPr>
              <w:jc w:val="center"/>
              <w:ind w:left="833"/>
              <w:spacing w:after="0"/>
              <w:rPr>
                <w:sz w:val="20"/>
                <w:szCs w:val="20"/>
                <w:color w:val="auto"/>
              </w:rPr>
            </w:pPr>
            <w:r>
              <w:rPr>
                <w:rFonts w:ascii="Times New Roman" w:cs="Times New Roman" w:eastAsia="Times New Roman" w:hAnsi="Times New Roman"/>
                <w:sz w:val="14"/>
                <w:szCs w:val="14"/>
                <w:b w:val="1"/>
                <w:bCs w:val="1"/>
                <w:color w:val="auto"/>
              </w:rPr>
              <w:t>Basis of Fair Value Measurement</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1"/>
                <w:szCs w:val="11"/>
                <w:color w:val="auto"/>
              </w:rPr>
            </w:pPr>
          </w:p>
        </w:tc>
        <w:tc>
          <w:tcPr>
            <w:tcW w:w="136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300" w:type="dxa"/>
            <w:vAlign w:val="bottom"/>
          </w:tcPr>
          <w:p>
            <w:pPr>
              <w:spacing w:after="0"/>
              <w:rPr>
                <w:sz w:val="11"/>
                <w:szCs w:val="11"/>
                <w:color w:val="auto"/>
              </w:rPr>
            </w:pPr>
          </w:p>
        </w:tc>
        <w:tc>
          <w:tcPr>
            <w:tcW w:w="1060" w:type="dxa"/>
            <w:vAlign w:val="bottom"/>
          </w:tcPr>
          <w:p>
            <w:pPr>
              <w:jc w:val="right"/>
              <w:ind w:right="251"/>
              <w:spacing w:after="0" w:line="12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96"/>
        </w:trPr>
        <w:tc>
          <w:tcPr>
            <w:tcW w:w="55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7"/>
                <w:szCs w:val="17"/>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229"/>
        </w:trPr>
        <w:tc>
          <w:tcPr>
            <w:tcW w:w="54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forward exchange contracts</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hedged long-term debt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swap derivative financial instruments</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forward exchange contracts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 consideration related to business combinations</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derivative financial instruments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forward exchange contracts</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hedged long-term debt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swap derivative financial instruments</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forward exchange contracts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 consideration related to business combinations</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63</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Financial Instruments, Derivatives, and Fair Value Measures (Continued)</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foreign currency forward exchange contracts is determined using a market approach, which utilizes values for comparable derivative instruments. The fair value of the debt was determined based on the face value of the debt adjusted for the fair value of the interest rate swaps, which is based on a discounted cash flow analysis using significant other observable inputs.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Contingent consideration relates to businesses acquired by Abbott. The fair value of the contingent consideration was determined based on independent appraisals at the time of acquisition, adjusted for the time value of money and other changes in fair value. The decrease in the amount of contingent consideration from December 31, 2024, reflects a contingent consideration payment related to a previous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Litigation and Environmental Matters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Abbott has been identified as a potentially responsible party for investigation and cleanup costs at a number of locations in the United States and Puerto Rico under federal and state remediation laws and is investigating potential contamination at a number of company-owned locations. Abbott has recorded an estimated cleanup cost for each site for which management believes Abbott has a probable loss exposure. No individual site cleanup exposure is expected to exceed $4 million, and the aggregate cleanup exposure is not expected to exceed $10 million.</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Abbott has been named as a defendant in a number of lawsuits alleging that its preterm infant formula and human milk fortifier products that contain cow’s milk ingredients cause an intestinal disease known as necrotizing enterocolitis (NEC) and inadequately warn about the risk of NEC. These lawsuits claim that certain preterm infants suffered injury or death as a result of contracting NEC. Two cases have gone to trial. In a Missouri state case, a jury awarded a plaintiff $495 million in damages. In a second Missouri state court case, a jury found in Abbott’s favor, and the judge later ordered a new trial in that matter. The two Missouri cases are on appeal. In the first three federal Multidistrict Litigation (MDL) “bellwether” cases, the U.S. District Court for the Northern District of Illinois granted summary judgment in favor of Abbott. The plaintiff in the first case has filed an appeal. Abbott stands by its products and the information it provided about them. Abbott does not believe that it is probable that a material loss will be incurred related to these lawsuits and therefore, no reserves have been recorded. Given the uncertainty as to the possible outcome in each of these lawsuits, Abbott is unable to reasonably estimate a range of possible loss related to these lawsuits.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Abbott is involved in various claims and legal proceedings, and Abbott estimates the range of possible loss for its legal proceedings and environmental exposures to be from approximately $170 million to $180 million. The recorded accrual balance at December 31, 2025, for these proceedings and exposures was approximately $175 million and included $165 million for legal reserves related to a negotiated settlement. This accrual represents management’s best estimate of probable loss, as defined by FASB ASC No. 450, “Contingencies.” Within the next year, legal proceedings may occur that may result in a change in the estimated loss accrued by Abbott. While it is not feasible to predict the outcome of all such proceedings and exposures with certainty, management believes that their ultimate disposition should not have a material adverse effect on Abbott’s financial position, cash flows, or results of operations, except for the cases discussed in the second paragraph of this note, the resolution of which could be material to Abbott's financial position, cash flows, or results of operations.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Post-Employment Benefits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Retirement plans consist of defined benefit, defined contribution, and medical and dental plans. Information for Abbott’s major defined benefit plans and post-employment medical and dental benefit plans is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Defined Benefit Plans</w:t>
            </w:r>
          </w:p>
        </w:tc>
        <w:tc>
          <w:tcPr>
            <w:tcW w:w="320" w:type="dxa"/>
            <w:vAlign w:val="bottom"/>
          </w:tcPr>
          <w:p>
            <w:pPr>
              <w:spacing w:after="0"/>
              <w:rPr>
                <w:sz w:val="16"/>
                <w:szCs w:val="16"/>
                <w:color w:val="auto"/>
              </w:rPr>
            </w:pPr>
          </w:p>
        </w:tc>
        <w:tc>
          <w:tcPr>
            <w:tcW w:w="248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Medical and Dental Plans</w:t>
            </w:r>
          </w:p>
        </w:tc>
        <w:tc>
          <w:tcPr>
            <w:tcW w:w="0" w:type="dxa"/>
            <w:vAlign w:val="bottom"/>
          </w:tcPr>
          <w:p>
            <w:pPr>
              <w:spacing w:after="0"/>
              <w:rPr>
                <w:sz w:val="1"/>
                <w:szCs w:val="1"/>
                <w:color w:val="auto"/>
              </w:rPr>
            </w:pPr>
          </w:p>
        </w:tc>
      </w:tr>
      <w:tr>
        <w:trPr>
          <w:trHeight w:val="23"/>
        </w:trPr>
        <w:tc>
          <w:tcPr>
            <w:tcW w:w="5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obligations, January 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0" w:type="dxa"/>
            <w:vAlign w:val="bottom"/>
          </w:tcPr>
          <w:p>
            <w:pPr>
              <w:spacing w:after="0"/>
              <w:rPr>
                <w:sz w:val="1"/>
                <w:szCs w:val="1"/>
                <w:color w:val="auto"/>
              </w:rPr>
            </w:pPr>
          </w:p>
        </w:tc>
      </w:tr>
      <w:tr>
        <w:trPr>
          <w:trHeight w:val="257"/>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 cost — benefits earned during the year</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6"/>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 on projected benefit obligations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76"/>
        </w:trPr>
        <w:tc>
          <w:tcPr>
            <w:tcW w:w="55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(Gains) losses, primarily changes in discount rates, plan design changes,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20" w:type="dxa"/>
            <w:vAlign w:val="bottom"/>
            <w:gridSpan w:val="2"/>
          </w:tcPr>
          <w:p>
            <w:pPr>
              <w:ind w:left="180"/>
              <w:spacing w:after="0" w:line="184" w:lineRule="exact"/>
              <w:rPr>
                <w:sz w:val="20"/>
                <w:szCs w:val="20"/>
                <w:color w:val="auto"/>
              </w:rPr>
            </w:pPr>
            <w:r>
              <w:rPr>
                <w:rFonts w:ascii="Times New Roman" w:cs="Times New Roman" w:eastAsia="Times New Roman" w:hAnsi="Times New Roman"/>
                <w:sz w:val="18"/>
                <w:szCs w:val="18"/>
                <w:color w:val="auto"/>
              </w:rPr>
              <w:t>law changes and differences between actual and estimated healthcare</w:t>
            </w:r>
          </w:p>
        </w:tc>
        <w:tc>
          <w:tcPr>
            <w:tcW w:w="3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4"/>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3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including foreign currency translation</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obligations, December 31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5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Plan assets at fair value, January 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14,143</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13,085</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56"/>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(loss) on plan assets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7"/>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 contributions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7"/>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56"/>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including foreign currency translation</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assets at fair value, December 31</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16,247</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14,143</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5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Projected benefit obligations less (greater) than plan assets, December 31</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assets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liabilities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6"/>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5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asset (liability)</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Amounts Recognized in Accumulated Other Comprehensive Income</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Actuarial (gains) losses, net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5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costs (credits)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7"/>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$95 million of defined benefit plan gains in 2025 that decreased the projected benefit obligations primarily reflect the favorable impact of actual asset returns in excess of expected returns and the year-over-year increase in discount rates used to measure the obligations. The $186 million of medical and dental plan loss that increased the projected benefit obligations primarily reflects higher claims. The $763 million of defined benefit plan gains and $33 million of medical and dental plan gains in 2024 that decreased the projected benefit obligations primarily reflect the year-over-year increase in the discount rates used to measure the obligations. The projected benefit obligations for non-U.S. defined benefit plans were $2.4 billion and $2.3 billion at December 31, 2025, and 2024, respectively. The accumulated benefit obligations for all defined benefit plans were $9.2 billion and $8.7 billion at December 31, 2025, and 2024, respectively.</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plans where the projected benefit obligations exceeded plan assets at December 31, 2025 and 2024, the projected benefit obligations and the aggregate plan assets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5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Post-Employment Benefits (Continued)</w:t>
      </w:r>
    </w:p>
    <w:p>
      <w:pPr>
        <w:spacing w:after="0" w:line="200" w:lineRule="exact"/>
        <w:rPr>
          <w:sz w:val="20"/>
          <w:szCs w:val="20"/>
          <w:color w:val="auto"/>
        </w:rPr>
      </w:pPr>
    </w:p>
    <w:p>
      <w:pPr>
        <w:spacing w:after="0" w:line="3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plans where the accumulated benefit obligations exceeded plan assets at December 31, 2025, and 2024, the aggregate accumulated benefit obligations, the projected benefit obligations and the aggregate plan assets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r>
      <w:tr>
        <w:trPr>
          <w:trHeight w:val="25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57"/>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Retirement plans consist of defined benefit, defined contribution, and medical and dental plans. Net periodic benefit costs, other than service costs, are recognized in the Other (income) expense, net line of the Consolidated Statement of Earnings. The components of the net periodic benefit cost as of December 31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Medical and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Defined Benefit Plans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Dental Plans</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 — benefits earned during the year</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7"/>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cost on projected benefit obligations</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57"/>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plans’ assets</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50"/>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losses (gains)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7"/>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(credits)</w:t>
            </w:r>
          </w:p>
        </w:tc>
        <w:tc>
          <w:tcPr>
            <w:tcW w:w="2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7"/>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net cost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approximately $15 million of income was recognized in 2023 related to the curtailment of a non-U.S. defined benefit plan.</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comprehensive income (loss) for each respective year includes the amortization of actuarial losses (gains) and prior service costs (credits) as noted in the previous table. Other comprehensive income (loss) for each respective year also includes: net actuarial gains of $861 million for defined benefit plans and a loss of $160 million for medical and dental plans in 2025; net actuarial gains of $971 million for defined benefit plans and a gain of $36 million for medical and dental plans in 2024, and net actuarial gains of $182 million for defined benefit plans and a loss of $33 million for medical and dental plans in 2023. The net actuarial gains in 2025 related to defined benefit plans are primarily due to the favorable impact of actual asset returns in excess of expected returns and the year-over-year increase in discount rates. The net actuarial loss in 2025 related to medical and dental plans is primarily due to higher claims. The net actuarial gains in 2024 related to defined benefit plans are primarily due to the favorable impact of actual asset returns in excess of expected returns and the year-over-year increase in discount rates. The net actuarial gain in 2024 related to medical and dental plans is primarily due to the year-over-year increase in discount rates.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assumptions used to determine benefit obligations for defined benefit plans and medical and dental plans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3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57"/>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aggregate average long-term change in compensation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assumptions used to determine the net cost for defined benefit plans and medical and dental plans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3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57"/>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56"/>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aggregate average long-term change in compensation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905"/>
        </w:trPr>
        <w:tc>
          <w:tcPr>
            <w:tcW w:w="632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rPr>
              <w:t>66</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5"/>
        </w:trPr>
        <w:tc>
          <w:tcPr>
            <w:tcW w:w="6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Post-Employment Benefits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assumed healthcare cost trend rates for medical and dental plans at December 31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3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Healthcare cost trend rate assumed for the next year</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57"/>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Rate that the cost trend rate gradually declines to</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56"/>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that rate reaches the assumed ultimate rate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discount rates used to measure liabilities were determined based on high-quality fixed income securities that match the duration of the expected retiree benefits. The healthcare cost trend rates represent Abbott’s expected annual rates of change in the cost of healthcare benefits and are forward projections of healthcare costs as of the measurement date.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bases used to measure the defined benefit and medical and dental plan assets at fair value: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Basis of Fair Value Measurement</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58"/>
        </w:trPr>
        <w:tc>
          <w:tcPr>
            <w:tcW w:w="4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220" w:type="dxa"/>
            <w:vAlign w:val="bottom"/>
          </w:tcPr>
          <w:p>
            <w:pPr>
              <w:spacing w:after="0"/>
              <w:rPr>
                <w:sz w:val="13"/>
                <w:szCs w:val="13"/>
                <w:color w:val="auto"/>
              </w:rPr>
            </w:pPr>
          </w:p>
        </w:tc>
        <w:tc>
          <w:tcPr>
            <w:tcW w:w="124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2"/>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Prices in</w:t>
            </w: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48"/>
        </w:trPr>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2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00" w:type="dxa"/>
            <w:vAlign w:val="bottom"/>
          </w:tcPr>
          <w:p>
            <w:pPr>
              <w:spacing w:after="0"/>
              <w:rPr>
                <w:sz w:val="12"/>
                <w:szCs w:val="12"/>
                <w:color w:val="auto"/>
              </w:rPr>
            </w:pPr>
          </w:p>
        </w:tc>
        <w:tc>
          <w:tcPr>
            <w:tcW w:w="1160" w:type="dxa"/>
            <w:vAlign w:val="bottom"/>
          </w:tcPr>
          <w:p>
            <w:pPr>
              <w:jc w:val="right"/>
              <w:ind w:right="212"/>
              <w:spacing w:after="0" w:line="149" w:lineRule="exact"/>
              <w:rPr>
                <w:sz w:val="20"/>
                <w:szCs w:val="20"/>
                <w:color w:val="auto"/>
              </w:rPr>
            </w:pPr>
            <w:r>
              <w:rPr>
                <w:rFonts w:ascii="Times New Roman" w:cs="Times New Roman" w:eastAsia="Times New Roman" w:hAnsi="Times New Roman"/>
                <w:sz w:val="14"/>
                <w:szCs w:val="14"/>
                <w:b w:val="1"/>
                <w:bCs w:val="1"/>
                <w:color w:val="auto"/>
              </w:rPr>
              <w:t>Measured at</w:t>
            </w:r>
          </w:p>
        </w:tc>
      </w:tr>
      <w:tr>
        <w:trPr>
          <w:trHeight w:val="204"/>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26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7"/>
                <w:szCs w:val="17"/>
                <w:color w:val="auto"/>
              </w:rPr>
            </w:pPr>
          </w:p>
        </w:tc>
        <w:tc>
          <w:tcPr>
            <w:tcW w:w="11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NAV (j)</w:t>
            </w:r>
          </w:p>
        </w:tc>
      </w:tr>
      <w:tr>
        <w:trPr>
          <w:trHeight w:val="23"/>
        </w:trPr>
        <w:tc>
          <w:tcPr>
            <w:tcW w:w="4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5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4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large cap (a)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50"/>
        </w:trPr>
        <w:tc>
          <w:tcPr>
            <w:tcW w:w="4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U.S. mid and small cap (b)</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63"/>
        </w:trPr>
        <w:tc>
          <w:tcPr>
            <w:tcW w:w="4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 (c)</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r>
      <w:tr>
        <w:trPr>
          <w:trHeight w:val="25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4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 (d)</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0"/>
        </w:trPr>
        <w:tc>
          <w:tcPr>
            <w:tcW w:w="4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Corporate debt instruments (e)</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63"/>
        </w:trPr>
        <w:tc>
          <w:tcPr>
            <w:tcW w:w="4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Non-U.S. government securities (f)</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50"/>
        </w:trPr>
        <w:tc>
          <w:tcPr>
            <w:tcW w:w="4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(g)</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63"/>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Absolute return funds (h)</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r>
      <w:tr>
        <w:trPr>
          <w:trHeight w:val="25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57"/>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r>
      <w:tr>
        <w:trPr>
          <w:trHeight w:val="250"/>
        </w:trPr>
        <w:tc>
          <w:tcPr>
            <w:tcW w:w="4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16,585</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9,125</w:t>
            </w: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3"/>
        </w:trPr>
        <w:tc>
          <w:tcPr>
            <w:tcW w:w="41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December 31, 2024</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5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4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large cap (a)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r>
      <w:tr>
        <w:trPr>
          <w:trHeight w:val="250"/>
        </w:trPr>
        <w:tc>
          <w:tcPr>
            <w:tcW w:w="4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U.S. mid and small cap (b)</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63"/>
        </w:trPr>
        <w:tc>
          <w:tcPr>
            <w:tcW w:w="4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 (c)</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r>
      <w:tr>
        <w:trPr>
          <w:trHeight w:val="25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4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 (d)</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0"/>
        </w:trPr>
        <w:tc>
          <w:tcPr>
            <w:tcW w:w="4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Corporate debt instruments (e)</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63"/>
        </w:trPr>
        <w:tc>
          <w:tcPr>
            <w:tcW w:w="4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Non-U.S. government securities (f)</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50"/>
        </w:trPr>
        <w:tc>
          <w:tcPr>
            <w:tcW w:w="4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(g)</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63"/>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Absolute return funds (h)</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r>
      <w:tr>
        <w:trPr>
          <w:trHeight w:val="25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57"/>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50"/>
        </w:trPr>
        <w:tc>
          <w:tcPr>
            <w:tcW w:w="4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7,838</w:t>
            </w:r>
          </w:p>
        </w:tc>
      </w:tr>
      <w:tr>
        <w:trPr>
          <w:trHeight w:val="27"/>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Post-Employment Benefits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w:t>
      </w:r>
    </w:p>
    <w:p>
      <w:pPr>
        <w:spacing w:after="0" w:line="109"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mix of index funds and actively managed equity accounts that are benchmarked to various large cap indices.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mix of index funds and actively managed equity accounts that are benchmarked to various mid and small cap indices.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mix of index funds and actively managed pooled investment funds that are benchmarked to various non-U.S. equity indices in both developed and emerging markets.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mix of index funds and actively managed accounts that are benchmarked to various U.S. government bond indices.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mix of index funds and actively managed accounts that are benchmarked to various corporate bond indices.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United Kingdom, Canada, Japan and Eurozone government bonds.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asset backed securities, bank loans, interest rate swap positions and diversified fixed income vehicles benchmarked to SOFR, Sterling Overnight Interbank Average (SONIA), or EURIBOR.</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hedge funds and funds invested by managers that have a global mandate with the flexibility to allocate capital broadly across a wide range of asset classes and strategies, including but not limited to equities, fixed income, commodities, interest rate futures, currencies, and other securities to outperform an agreed upon benchmark with specific return and volatility targets.</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investments in private funds, such as private equity, private credit, private real estate, and private energy funds.</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measured at fair value using the net asset value (NAV) practical expedient have not been classified in the fair value hierarchy. The fair value amounts presented in this table are intended to permit reconciliation of the fair value hierarchy to the amounts presented in the consolidated balance sheet.</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Equities that are valued using quoted prices are valued at the published market prices. Equities in a common collective trust or a registered investment company are valued at the NAV provided by the fund administrator. The NAV is based on the value of the underlying assets owned by the fund minus its liabilities. For approximately half of these funds, investments may be redeemed once per week or month, with a required 2 to 30 day notice period. For the remaining funds, daily redemption of an investment is allowed. Fixed income securities that are valued using significant other observable inputs are valued at prices obtained from independent financial service industry recognized vendors. Abbott did not have any unfunded commitments related to fixed income funds at December 31, 2025, and 2024. Fixed income securities in a common collective trust or a registered investment company are valued at the NAV provided by the fund administrator. For the majority of these funds, investments may be redeemed either weekly or monthly, with a required 2 to 60 day notice period. For the remaining funds, investments may be generally redeemed daily.</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Absolute return funds are valued at the NAV provided by the fund administrator. Abbott did not have any unfunded commitments related to absolute return funds at December 31, 2025, and 2024. Investments in these funds may be generally redeemed monthly or quarterly with required notice periods ranging from 5 to 90 days. For approximately $350 million of the absolute return funds, redemptions are subject to a 25 percent gate and $60 million is subject to a lock until 2028. All private funds are valued at the NAV provided by the fund on a one-quarter lag adjusted for known cash flows and significant events through the reporting date. Investments in the private funds cannot be redeemed but the funds will make distributions through liquidation. The estimate of the liquidation period for each fund ranges from 2026 to 2035. Abbott’s unfunded commitment in these funds was $630 million and $540 million as of December 31, 2025, and 2024, respectively.</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investment mix of equity securities, fixed income, and other asset allocation strategies is based upon achieving a desired return, as well as balancing higher return, more volatile equity securities with lower return, and less volatile fixed income securities. Investment allocations are made across a range of markets, industry sectors, capitalization sizes, and in the case of fixed income securities, maturities, and credit quality. The plans do not directly hold any securities of Abbott. There are no known significant concentrations of risk in the plans’ assets. Abbott’s medical and dental plans’ assets are invested in a similar mix as the pension plan assets. The actual asset allocation percentages at year end are consistent with the company’s targeted asset allocation percentages.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Post-Employment Benefits (Continued)</w:t>
      </w:r>
    </w:p>
    <w:p>
      <w:pPr>
        <w:spacing w:after="0" w:line="200" w:lineRule="exact"/>
        <w:rPr>
          <w:sz w:val="20"/>
          <w:szCs w:val="20"/>
          <w:color w:val="auto"/>
        </w:rPr>
      </w:pPr>
    </w:p>
    <w:p>
      <w:pPr>
        <w:spacing w:after="0" w:line="3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plans’ expected return on assets, as shown above, is based on management’s expectations of long-term average rates of return to be achieved by the underlying investment portfolios. In establishing this assumption, management considers historical and expected returns for the asset classes in which the plans are invested, as well as current economic and capital market conditions.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Abbott funds its domestic pension plans according to U.S. Internal Revenue Service (IRS) funding limitations. International pension plans are funded according to similar regulations. Abbott funded $309 million in 2025 and $349 million in 2024 and 2023 to pension plans. Abbott expects to contribute approximately $85 million to its pension plans in 2026.</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benefit payments expected to be paid to participants, which include payments funded from company assets, as well as paid from the plans, are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220" w:type="dxa"/>
            <w:vAlign w:val="bottom"/>
          </w:tcPr>
          <w:p>
            <w:pPr>
              <w:spacing w:after="0"/>
              <w:rPr>
                <w:sz w:val="13"/>
                <w:szCs w:val="13"/>
                <w:color w:val="auto"/>
              </w:rPr>
            </w:pP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Medical and</w:t>
            </w:r>
          </w:p>
        </w:tc>
        <w:tc>
          <w:tcPr>
            <w:tcW w:w="0" w:type="dxa"/>
            <w:vAlign w:val="bottom"/>
          </w:tcPr>
          <w:p>
            <w:pPr>
              <w:spacing w:after="0"/>
              <w:rPr>
                <w:sz w:val="1"/>
                <w:szCs w:val="1"/>
                <w:color w:val="auto"/>
              </w:rPr>
            </w:pPr>
          </w:p>
        </w:tc>
      </w:tr>
      <w:tr>
        <w:trPr>
          <w:trHeight w:val="195"/>
        </w:trPr>
        <w:tc>
          <w:tcPr>
            <w:tcW w:w="8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20" w:type="dxa"/>
            <w:vAlign w:val="bottom"/>
          </w:tcPr>
          <w:p>
            <w:pPr>
              <w:spacing w:after="0"/>
              <w:rPr>
                <w:sz w:val="16"/>
                <w:szCs w:val="16"/>
                <w:color w:val="auto"/>
              </w:rPr>
            </w:pP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Dental Plans</w:t>
            </w:r>
          </w:p>
        </w:tc>
        <w:tc>
          <w:tcPr>
            <w:tcW w:w="0" w:type="dxa"/>
            <w:vAlign w:val="bottom"/>
          </w:tcPr>
          <w:p>
            <w:pPr>
              <w:spacing w:after="0"/>
              <w:rPr>
                <w:sz w:val="1"/>
                <w:szCs w:val="1"/>
                <w:color w:val="auto"/>
              </w:rPr>
            </w:pPr>
          </w:p>
        </w:tc>
      </w:tr>
      <w:tr>
        <w:trPr>
          <w:trHeight w:val="255"/>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5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6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5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6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2031 to 2035</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Abbott Stock Retirement Plan is the principal defined contribution plan. Abbott’s contributions to this plan were $256 million in 2025, $207 million in 2024, and $199 million in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Taxes on Earnings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Taxes on earnings reflect the annual effective rates, including charges for interest and penalties. Deferred income taxes reflect the tax consequences on future years of differences between the tax bases of assets and liabilities and their financial reporting amounts.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Taxes on earnings included $92 million, $50 million, and $22 million in excess tax benefits associated with share-based compensation in 2025, 2024, and 2023, respectively. As a result of the resolution of various tax positions related to prior years, taxes on earnings in 2025, 2024, and 2023 also included approximately $70 million of net tax benefit, $25 million, and $80 million of net tax expense, respectively. In 2025, taxes on earnings included approximately $610 million of tax expense related to a deferred tax asset that was recognized as a significant non-cash tax benefit in a prior year. In 2024, taxes on earnings included $7.5 billion in non-cash valuation allowance adjustments resulting from the restructuring of certain foreign affiliates and the confirmation of certain tax filing positions. The restructuring improved profitability to several of Abbott’s affiliates and management concluded that the related preexisting deferred tax assets, which historically had a full valuation allowance, were more likely than not to be realizable in future periods. In particular, Abbott considered the likelihood of sustained ongoing profitability of the affiliates as a positive factor that outweighed all available negative evidence considered. Accordingly, Abbott released the full valuation allowance on such deferred tax assets and recorded the offset to taxes on earnings.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TCJA included a one-time transition tax that is based on Abbott’s total post-1986 earnings and profits (E&amp;P) that were previously deferred from U.S. income taxes. The tax computation also required the determination of the amount of post-1986 E&amp;P considered held in cash and other specified assets. As of December 31, 2025, the remaining balance of Abbott’s transition tax obligation related to the TCJA was approximately $205 million. The final installment will be paid in 2026 as allowed by the TCJA. Undistributed foreign earnings remain indefinitely reinvested in foreign operations. Determining the amount of unrecognized deferred tax liability related to any remaining undistributed foreign earnings not subject to the transition tax and additional outside basis difference in its foreign entities is not practicable.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Taxes on Earnings (Continued)</w:t>
      </w:r>
    </w:p>
    <w:p>
      <w:pPr>
        <w:spacing w:after="0" w:line="200" w:lineRule="exact"/>
        <w:rPr>
          <w:sz w:val="20"/>
          <w:szCs w:val="20"/>
          <w:color w:val="auto"/>
        </w:rPr>
      </w:pPr>
    </w:p>
    <w:p>
      <w:pPr>
        <w:spacing w:after="0" w:line="3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U.S., Abbott’s federal income tax returns through 2016 are settled. In September 2023, Abbott received a Statutory Notice of Deficiency (SNOD) from the IRS for the 2019 Federal tax year in the amount of $417 million. The primary adjustments proposed in the SNOD relate to the reallocation of income between Abbott’s U.S. entities and its foreign affiliates. Abbott believes that the income reallocation adjustments proposed in the SNOD are without merit, in part because certain adjustments contradict methods that were agreed to with the IRS in prior audit periods. The SNOD also contains other proposed adjustments that Abbott believes are erroneous and unsupported. Abbott filed a petition with the U.S. Tax Court contesting the SNOD in December 2023.</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Abbott received a SNOD from the IRS for the 2017 and 2018 Federal tax years in the amount of $192 million. The matters proposed in the 2017/2018 SNOD are substantially similar to the income allocation adjustments included in the 2019 SNOD. Abbott filed a petition in September 2024 with the U.S. Tax Court contesting the 2017/2018 SNOD in a manner consistent with its petition for the 2019 SNOD.</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2024, Abbott received a SNOD from the IRS for the 2020 Federal tax year assessing an additional $443 million of income tax. The primary adjustments proposed in the SNOD are substantially similar to the income allocation adjustments included in the 2017/2018 and 2019 SNODs. Abbott believes that the income reallocation adjustments proposed in the SNOD are without merit. The SNOD also contains other proposed adjustments and omissions that Abbott believes are erroneous and unsupported. In addition to the tax assessment for the 2020 tax year, the 2020 SNOD also contested a deduction for which an estimated $440 million cash tax benefit would be available in a different taxable year as allowed under applicable U.S. tax law. Abbott filed a petition with the U.S. Tax Court contesting the SNOD in December 2024.</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Abbott and the IRS are in active discussions regarding several of the disputed items contained in the 2017 – 2020 SNODs.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2024, Abbott received a $413 million tax assessment from the Malaysian tax authorities for the 2023 tax year. The assessment applies a property capital gains tax on the value of the shares associated with the intercompany sale of an affiliate. Abbott believes the assessment of the Malaysian tax authority to be without merit. In October 2025, the Penang High Court upheld the assessment of the Malaysian tax authority. In October 2025, Abbott filed an appeal with the Malaysian Court of Appeals.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numerous other income tax jurisdictions for which tax returns are not yet settled, none of which Abbott expects to be individually significant. Abbott intends to vigorously defend its filing positions in all jurisdictions in which it has unresolved tax matters through ongoing discussions with taxing administrations and/or through litigation as necessary. Abbott reserves for uncertain tax positions related to unresolved tax matters where Abbott’s tax filing position does not meet the standard for recognition of an income tax benefit. Abbott continues to believe that the amount of its recorded reserves for uncertain tax positions is appropriate. Reserves for interest and penalties are not significant.</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Organization for Economic Cooperation &amp; Development (OECD) has proposed a two-pillared plan for a revised international tax system. Pillar 1 proposes to reallocate taxing rights among the jurisdictions in which in-scope multinational corporations operate. Pillar 2 proposes to assess a 15 percent minimum tax on the earnings of in-scope multinational corporations on a country-by-country basis. Numerous countries have enacted legislation to adopt the Pillar 2 model rules. On January 5, 2026, the OECD released administrative guidance that, when enacted, exempts US-parented groups from the Pillar 2 minimum tax. Abbott continues to monitor legislative developments and assess any potential impacts on Abbott's operations for both the Pillar 1 and Pillar 2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Taxes on Earnings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before taxes, and the related provisions for taxes on earnings, were as follows: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14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8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Earnings Before Taxes: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5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0" w:type="dxa"/>
            <w:vAlign w:val="bottom"/>
          </w:tcPr>
          <w:p>
            <w:pPr>
              <w:spacing w:after="0"/>
              <w:rPr>
                <w:sz w:val="1"/>
                <w:szCs w:val="1"/>
                <w:color w:val="auto"/>
              </w:rPr>
            </w:pPr>
          </w:p>
        </w:tc>
      </w:tr>
      <w:tr>
        <w:trPr>
          <w:trHeight w:val="257"/>
        </w:trPr>
        <w:tc>
          <w:tcPr>
            <w:tcW w:w="6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6,664</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8"/>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24"/>
                <w:szCs w:val="24"/>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on Earnings: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56"/>
        </w:trPr>
        <w:tc>
          <w:tcPr>
            <w:tcW w:w="6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50"/>
        </w:trPr>
        <w:tc>
          <w:tcPr>
            <w:tcW w:w="6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56"/>
        </w:trPr>
        <w:tc>
          <w:tcPr>
            <w:tcW w:w="66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taxes paid (net of refunds received) were as follows:</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6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66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paid (net of refunds received):</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5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50"/>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63"/>
        </w:trPr>
        <w:tc>
          <w:tcPr>
            <w:tcW w:w="6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 other jurisdictions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Taxes on Earnings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Differences between the effective income tax rate and the U.S. statutory tax rate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Pr>
          <w:p>
            <w:pPr>
              <w:spacing w:after="0"/>
              <w:rPr>
                <w:sz w:val="16"/>
                <w:szCs w:val="16"/>
                <w:color w:val="auto"/>
              </w:rPr>
            </w:pPr>
          </w:p>
        </w:tc>
      </w:tr>
      <w:tr>
        <w:trPr>
          <w:trHeight w:val="20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Pr>
          <w:p>
            <w:pPr>
              <w:spacing w:after="0"/>
              <w:rPr>
                <w:sz w:val="17"/>
                <w:szCs w:val="17"/>
                <w:color w:val="auto"/>
              </w:rPr>
            </w:pPr>
          </w:p>
        </w:tc>
        <w:tc>
          <w:tcPr>
            <w:tcW w:w="166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3"/>
        </w:trPr>
        <w:tc>
          <w:tcPr>
            <w:tcW w:w="7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70"/>
        </w:trPr>
        <w:tc>
          <w:tcPr>
            <w:tcW w:w="7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7"/>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0"/>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Costa Rica</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63"/>
        </w:trPr>
        <w:tc>
          <w:tcPr>
            <w:tcW w:w="8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rate differential</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w:t>
            </w:r>
          </w:p>
        </w:tc>
      </w:tr>
      <w:tr>
        <w:trPr>
          <w:trHeight w:val="250"/>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63"/>
        </w:trPr>
        <w:tc>
          <w:tcPr>
            <w:tcW w:w="8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Affiliate financing</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r>
      <w:tr>
        <w:trPr>
          <w:trHeight w:val="250"/>
        </w:trPr>
        <w:tc>
          <w:tcPr>
            <w:tcW w:w="8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0.5</w:t>
            </w:r>
          </w:p>
        </w:tc>
      </w:tr>
      <w:tr>
        <w:trPr>
          <w:trHeight w:val="263"/>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Luxembourg</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0"/>
        </w:trPr>
        <w:tc>
          <w:tcPr>
            <w:tcW w:w="8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Affiliate investing</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7.0</w:t>
            </w:r>
          </w:p>
        </w:tc>
      </w:tr>
      <w:tr>
        <w:trPr>
          <w:trHeight w:val="263"/>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Malta</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0"/>
        </w:trPr>
        <w:tc>
          <w:tcPr>
            <w:tcW w:w="8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Tax rate differential</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w:t>
            </w:r>
          </w:p>
        </w:tc>
      </w:tr>
      <w:tr>
        <w:trPr>
          <w:trHeight w:val="263"/>
        </w:trPr>
        <w:tc>
          <w:tcPr>
            <w:tcW w:w="8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Affiliate financing</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w:t>
            </w:r>
          </w:p>
        </w:tc>
      </w:tr>
      <w:tr>
        <w:trPr>
          <w:trHeight w:val="250"/>
        </w:trPr>
        <w:tc>
          <w:tcPr>
            <w:tcW w:w="8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(0.5)</w:t>
            </w:r>
          </w:p>
        </w:tc>
      </w:tr>
      <w:tr>
        <w:trPr>
          <w:trHeight w:val="277"/>
        </w:trPr>
        <w:tc>
          <w:tcPr>
            <w:tcW w:w="7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50"/>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w:t>
            </w:r>
          </w:p>
        </w:tc>
      </w:tr>
      <w:tr>
        <w:trPr>
          <w:trHeight w:val="277"/>
        </w:trPr>
        <w:tc>
          <w:tcPr>
            <w:tcW w:w="7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5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63"/>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derived intangible income (FDII)</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w:t>
            </w:r>
          </w:p>
        </w:tc>
      </w:tr>
      <w:tr>
        <w:trPr>
          <w:trHeight w:val="250"/>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0.5</w:t>
            </w:r>
          </w:p>
        </w:tc>
      </w:tr>
      <w:tr>
        <w:trPr>
          <w:trHeight w:val="277"/>
        </w:trPr>
        <w:tc>
          <w:tcPr>
            <w:tcW w:w="7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50"/>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(1.7)</w:t>
            </w:r>
          </w:p>
        </w:tc>
      </w:tr>
      <w:tr>
        <w:trPr>
          <w:trHeight w:val="281"/>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747"/>
        </w:trPr>
        <w:tc>
          <w:tcPr>
            <w:tcW w:w="7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tax rate on earnings</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5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Impact of foreign operations</w:t>
            </w:r>
          </w:p>
        </w:tc>
        <w:tc>
          <w:tcPr>
            <w:tcW w:w="28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(3.6)</w:t>
            </w:r>
          </w:p>
        </w:tc>
      </w:tr>
      <w:tr>
        <w:trPr>
          <w:trHeight w:val="263"/>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Foreign-derived intangible income benefit</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(2.2)</w:t>
            </w:r>
          </w:p>
        </w:tc>
      </w:tr>
      <w:tr>
        <w:trPr>
          <w:trHeight w:val="25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Valuation allowance adjustments</w:t>
            </w:r>
          </w:p>
        </w:tc>
        <w:tc>
          <w:tcPr>
            <w:tcW w:w="28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tax benefits related to stock compensation</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(0.3)</w:t>
            </w:r>
          </w:p>
        </w:tc>
      </w:tr>
      <w:tr>
        <w:trPr>
          <w:trHeight w:val="25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tax credit</w:t>
            </w:r>
          </w:p>
        </w:tc>
        <w:tc>
          <w:tcPr>
            <w:tcW w:w="28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w:t>
            </w:r>
          </w:p>
        </w:tc>
      </w:tr>
      <w:tr>
        <w:trPr>
          <w:trHeight w:val="263"/>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Resolution of certain tax positions pertaining to prior years</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r>
      <w:tr>
        <w:trPr>
          <w:trHeight w:val="25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Intercompany restructurings and integration</w:t>
            </w:r>
          </w:p>
        </w:tc>
        <w:tc>
          <w:tcPr>
            <w:tcW w:w="28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w:t>
            </w:r>
          </w:p>
        </w:tc>
      </w:tr>
      <w:tr>
        <w:trPr>
          <w:trHeight w:val="263"/>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0.5</w:t>
            </w:r>
          </w:p>
        </w:tc>
      </w:tr>
      <w:tr>
        <w:trPr>
          <w:trHeight w:val="25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net</w:t>
            </w: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 on earnings</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Impact of foreign operations is primarily derived from operations in Puerto Rico, Switzerland, Ireland, the Netherlands, Costa Rica, Singapore, Malta, and Malaysia.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Taxes on Earnings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 of the differences that give rise to deferred tax assets and liabilities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Trade receivable reserves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Inventory reserves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intercompany profit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57"/>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NOLs, reserves not currently deductible, credit carryforwards and other</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10,353</w:t>
            </w: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deferred tax assets before valuation allowance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12,073</w:t>
            </w:r>
          </w:p>
        </w:tc>
      </w:tr>
      <w:tr>
        <w:trPr>
          <w:trHeight w:val="257"/>
        </w:trPr>
        <w:tc>
          <w:tcPr>
            <w:tcW w:w="81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r>
      <w:tr>
        <w:trPr>
          <w:trHeight w:val="250"/>
        </w:trPr>
        <w:tc>
          <w:tcPr>
            <w:tcW w:w="81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10,409</w:t>
            </w:r>
          </w:p>
        </w:tc>
      </w:tr>
      <w:tr>
        <w:trPr>
          <w:trHeight w:val="24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Right of use lease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57"/>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primarily the excess of book basis over tax basis of intangible assets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r>
      <w:tr>
        <w:trPr>
          <w:trHeight w:val="250"/>
        </w:trPr>
        <w:tc>
          <w:tcPr>
            <w:tcW w:w="81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w:t>
            </w:r>
          </w:p>
        </w:tc>
      </w:tr>
      <w:tr>
        <w:trPr>
          <w:trHeight w:val="282"/>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deferred tax assets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Taxes on Earnings (Continued)</w:t>
      </w:r>
    </w:p>
    <w:p>
      <w:pPr>
        <w:spacing w:after="0" w:line="200" w:lineRule="exact"/>
        <w:rPr>
          <w:sz w:val="20"/>
          <w:szCs w:val="20"/>
          <w:color w:val="auto"/>
        </w:rPr>
      </w:pPr>
    </w:p>
    <w:p>
      <w:pPr>
        <w:spacing w:after="0" w:line="3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gross amounts of unrecognized tax benefits without regard to reduction in tax liabilities or additions to deferred tax assets and liabilities if such unrecognized tax benefits were settled: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due to current year tax positions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6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due to prior year tax positions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Decrease due to prior year tax positions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6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Lapse of statute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82"/>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Abbott’s unrecognized tax benefits table includes amounts related to tax positions for which a deferred tax asset has not been recognized because the recognition of the future benefit is not expected.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amount of unrecognized tax benefits that, if recognized, would impact the effective tax rate is approximately $2.6 billion.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Segment and Geographic Area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Abbott’s principal business is the discovery, development, manufacture, and sale of a broad line of healthcare products. Abbott’s products are generally sold directly to retailers, wholesalers, hospitals, healthcare facilities, laboratories, physicians’ offices, and government agencies throughout the world.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Abbott’s reportable segments are as follows: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Established Pharmaceutical Products</w:t>
      </w:r>
      <w:r>
        <w:rPr>
          <w:rFonts w:ascii="Times New Roman" w:cs="Times New Roman" w:eastAsia="Times New Roman" w:hAnsi="Times New Roman"/>
          <w:sz w:val="18"/>
          <w:szCs w:val="18"/>
          <w:color w:val="auto"/>
        </w:rPr>
        <w:t>—International sales of a broad line of branded generic pharmaceutical products.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Nutritional Products</w:t>
      </w:r>
      <w:r>
        <w:rPr>
          <w:rFonts w:ascii="Times New Roman" w:cs="Times New Roman" w:eastAsia="Times New Roman" w:hAnsi="Times New Roman"/>
          <w:sz w:val="18"/>
          <w:szCs w:val="18"/>
          <w:color w:val="auto"/>
        </w:rPr>
        <w:t>—Worldwide sales of a broad line of adult and pediatric nutritional products.</w:t>
      </w:r>
    </w:p>
    <w:p>
      <w:pPr>
        <w:spacing w:after="0" w:line="1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Diagnostic Products</w:t>
      </w:r>
      <w:r>
        <w:rPr>
          <w:rFonts w:ascii="Times New Roman" w:cs="Times New Roman" w:eastAsia="Times New Roman" w:hAnsi="Times New Roman"/>
          <w:sz w:val="18"/>
          <w:szCs w:val="18"/>
          <w:color w:val="auto"/>
        </w:rPr>
        <w:t>—Worldwide sales of diagnostic systems and tests for blood banks, hospitals, commercial laboratories, and alternate-care testing sites.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segment reporting purposes, the Core Laboratory, Rapid Diagnostics, Molecular, and Point of Care businesses are aggregated and reported as the Diagnostic Products segment.</w:t>
      </w:r>
    </w:p>
    <w:p>
      <w:pPr>
        <w:spacing w:after="0" w:line="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Medical Devices</w:t>
      </w:r>
      <w:r>
        <w:rPr>
          <w:rFonts w:ascii="Times New Roman" w:cs="Times New Roman" w:eastAsia="Times New Roman" w:hAnsi="Times New Roman"/>
          <w:sz w:val="18"/>
          <w:szCs w:val="18"/>
          <w:color w:val="auto"/>
        </w:rPr>
        <w:t>—Worldwide sales of rhythm management, electrophysiology, heart failure, vascular, structural heart, neuromodulation, and diabetes 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For segment reporting purposes, the Rhythm Management, Electrophysiology, Heart Failure, Vascular, Structural Heart, Neuromodulation, and Diabetes Care businesses are aggregated and reported as the Medical Devices segment.</w:t>
      </w:r>
    </w:p>
    <w:p>
      <w:pPr>
        <w:spacing w:after="0" w:line="6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Abbott’s underlying accounting records are maintained on a legal entity basis for government and public reporting requirements. Segment disclosures are on a performance basis consistent with internal management reporting. The chief operating decision maker (CODM) at Abbott is the Chief Executive Officer. The CODM primarily considers sales and operating margin to assess the performance of segments and to allocate resources, where segment operating margin profitability includes cost of products sold and operating expenses. The cost of some corporate functions and the cost of certain employee benefits are charged to segments at predetermined rates that approximate cost. Remaining costs, if any, are not allocated to segments. In addition, intangible asset amortization is not allocated to operating segments, and intangible assets and goodwill are not included in the measure of each segment’s assets.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Segment and Geographic Area Information (Continued)</w:t>
      </w:r>
    </w:p>
    <w:p>
      <w:pPr>
        <w:spacing w:after="0" w:line="200" w:lineRule="exact"/>
        <w:rPr>
          <w:sz w:val="20"/>
          <w:szCs w:val="20"/>
          <w:color w:val="auto"/>
        </w:rPr>
      </w:pPr>
    </w:p>
    <w:p>
      <w:pPr>
        <w:spacing w:after="0" w:line="3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segment information has been prepared in accordance with the internal accounting policies of Abbott, as described above, and are not presented in accordance with generally accepted accounting principles applied to the consolidated financial statements.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7"/>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7"/>
              </w:rPr>
              <w:t>Net Sales to External Customers (a)</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6"/>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Cost of Products Sold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8"/>
          </w:tcPr>
          <w:p>
            <w:pPr>
              <w:ind w:left="180"/>
              <w:spacing w:after="0"/>
              <w:rPr>
                <w:sz w:val="20"/>
                <w:szCs w:val="20"/>
                <w:color w:val="auto"/>
              </w:rPr>
            </w:pPr>
            <w:r>
              <w:rPr>
                <w:rFonts w:ascii="Times New Roman" w:cs="Times New Roman" w:eastAsia="Times New Roman" w:hAnsi="Times New Roman"/>
                <w:sz w:val="11"/>
                <w:szCs w:val="11"/>
                <w:b w:val="1"/>
                <w:bCs w:val="1"/>
                <w:color w:val="auto"/>
              </w:rPr>
              <w:t>Research and Development</w:t>
            </w:r>
          </w:p>
        </w:tc>
        <w:tc>
          <w:tcPr>
            <w:tcW w:w="120" w:type="dxa"/>
            <w:vAlign w:val="bottom"/>
          </w:tcPr>
          <w:p>
            <w:pPr>
              <w:spacing w:after="0"/>
              <w:rPr>
                <w:sz w:val="12"/>
                <w:szCs w:val="12"/>
                <w:color w:val="auto"/>
              </w:rPr>
            </w:pPr>
          </w:p>
        </w:tc>
        <w:tc>
          <w:tcPr>
            <w:tcW w:w="1960" w:type="dxa"/>
            <w:vAlign w:val="bottom"/>
            <w:gridSpan w:val="8"/>
          </w:tcPr>
          <w:p>
            <w:pPr>
              <w:ind w:left="40"/>
              <w:spacing w:after="0"/>
              <w:rPr>
                <w:sz w:val="20"/>
                <w:szCs w:val="20"/>
                <w:color w:val="auto"/>
              </w:rPr>
            </w:pPr>
            <w:r>
              <w:rPr>
                <w:rFonts w:ascii="Times New Roman" w:cs="Times New Roman" w:eastAsia="Times New Roman" w:hAnsi="Times New Roman"/>
                <w:sz w:val="11"/>
                <w:szCs w:val="11"/>
                <w:b w:val="1"/>
                <w:bCs w:val="1"/>
                <w:color w:val="auto"/>
              </w:rPr>
              <w:t>Selling, General and Administrative</w:t>
            </w:r>
          </w:p>
        </w:tc>
        <w:tc>
          <w:tcPr>
            <w:tcW w:w="140" w:type="dxa"/>
            <w:vAlign w:val="bottom"/>
          </w:tcPr>
          <w:p>
            <w:pPr>
              <w:spacing w:after="0"/>
              <w:rPr>
                <w:sz w:val="12"/>
                <w:szCs w:val="12"/>
                <w:color w:val="auto"/>
              </w:rPr>
            </w:pPr>
          </w:p>
        </w:tc>
        <w:tc>
          <w:tcPr>
            <w:tcW w:w="1320" w:type="dxa"/>
            <w:vAlign w:val="bottom"/>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Operating Earnings (a)</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0" w:type="dxa"/>
            <w:vAlign w:val="bottom"/>
          </w:tcPr>
          <w:p>
            <w:pPr>
              <w:spacing w:after="0"/>
              <w:rPr>
                <w:sz w:val="12"/>
                <w:szCs w:val="12"/>
                <w:color w:val="auto"/>
              </w:rPr>
            </w:pPr>
          </w:p>
        </w:tc>
        <w:tc>
          <w:tcPr>
            <w:tcW w:w="52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90"/>
              </w:rPr>
              <w:t>2023</w:t>
            </w:r>
          </w:p>
        </w:tc>
        <w:tc>
          <w:tcPr>
            <w:tcW w:w="0" w:type="dxa"/>
            <w:vAlign w:val="bottom"/>
          </w:tcPr>
          <w:p>
            <w:pPr>
              <w:spacing w:after="0"/>
              <w:rPr>
                <w:sz w:val="1"/>
                <w:szCs w:val="1"/>
                <w:color w:val="auto"/>
              </w:rPr>
            </w:pPr>
          </w:p>
        </w:tc>
      </w:tr>
      <w:tr>
        <w:trPr>
          <w:trHeight w:val="22"/>
        </w:trPr>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Established</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2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Pharmaceuticals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5,536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5,194</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5,066</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(2,615)</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(2,444)</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(2,357)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(1,455)</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(1,341)</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(1,330)</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1,290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1,233</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1,206</w:t>
            </w:r>
          </w:p>
        </w:tc>
        <w:tc>
          <w:tcPr>
            <w:tcW w:w="0" w:type="dxa"/>
            <w:vAlign w:val="bottom"/>
          </w:tcPr>
          <w:p>
            <w:pPr>
              <w:spacing w:after="0"/>
              <w:rPr>
                <w:sz w:val="1"/>
                <w:szCs w:val="1"/>
                <w:color w:val="auto"/>
              </w:rPr>
            </w:pPr>
          </w:p>
        </w:tc>
      </w:tr>
      <w:tr>
        <w:trPr>
          <w:trHeight w:val="15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Nutritionals</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8,451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8,413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8,154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(4,569)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(4,532)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(4,495)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1,558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1,505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1,333</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Diagnostics</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8,937</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9,341</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9,988</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(4,984)</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(4,995)</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(5,264)</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(602)</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(656)</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(698)</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(1,611)</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(1,617)</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(1,593)</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1,740</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2,073</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2,433</w:t>
            </w:r>
          </w:p>
        </w:tc>
        <w:tc>
          <w:tcPr>
            <w:tcW w:w="0" w:type="dxa"/>
            <w:vAlign w:val="bottom"/>
          </w:tcPr>
          <w:p>
            <w:pPr>
              <w:spacing w:after="0"/>
              <w:rPr>
                <w:sz w:val="1"/>
                <w:szCs w:val="1"/>
                <w:color w:val="auto"/>
              </w:rPr>
            </w:pPr>
          </w:p>
        </w:tc>
      </w:tr>
      <w:tr>
        <w:trPr>
          <w:trHeight w:val="15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Medical Devices</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21,387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18,986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16,887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(6,973)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(6,408)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(5,803)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(5,449)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(4,416)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7,212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6,153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5,306</w:t>
            </w:r>
          </w:p>
        </w:tc>
        <w:tc>
          <w:tcPr>
            <w:tcW w:w="0" w:type="dxa"/>
            <w:vAlign w:val="bottom"/>
          </w:tcPr>
          <w:p>
            <w:pPr>
              <w:spacing w:after="0"/>
              <w:rPr>
                <w:sz w:val="1"/>
                <w:szCs w:val="1"/>
                <w:color w:val="auto"/>
              </w:rPr>
            </w:pPr>
          </w:p>
        </w:tc>
      </w:tr>
      <w:tr>
        <w:trPr>
          <w:trHeight w:val="22"/>
        </w:trPr>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44,311</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41,934</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40,095</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(19,141)</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(18,379)</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(17,919)</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(2,744)</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(2,587)</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(2,437)</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(10,626)</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(10,004)</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(9,461)</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11,800</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10,964</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9"/>
              </w:rPr>
              <w:t>10,278</w:t>
            </w:r>
          </w:p>
        </w:tc>
        <w:tc>
          <w:tcPr>
            <w:tcW w:w="0" w:type="dxa"/>
            <w:vAlign w:val="bottom"/>
          </w:tcPr>
          <w:p>
            <w:pPr>
              <w:spacing w:after="0"/>
              <w:rPr>
                <w:sz w:val="1"/>
                <w:szCs w:val="1"/>
                <w:color w:val="auto"/>
              </w:rPr>
            </w:pPr>
          </w:p>
        </w:tc>
      </w:tr>
      <w:tr>
        <w:trPr>
          <w:trHeight w:val="147"/>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1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44,328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41,950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40,109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bottom w:val="single" w:sz="8" w:color="CCEEFF"/>
            </w:tcBorders>
            <w:gridSpan w:val="2"/>
            <w:vMerge w:val="restart"/>
          </w:tcPr>
          <w:p>
            <w:pPr>
              <w:ind w:left="20"/>
              <w:spacing w:after="0" w:line="122" w:lineRule="exact"/>
              <w:rPr>
                <w:sz w:val="20"/>
                <w:szCs w:val="20"/>
                <w:color w:val="auto"/>
              </w:rPr>
            </w:pPr>
            <w:r>
              <w:rPr>
                <w:rFonts w:ascii="Times New Roman" w:cs="Times New Roman" w:eastAsia="Times New Roman" w:hAnsi="Times New Roman"/>
                <w:sz w:val="11"/>
                <w:szCs w:val="11"/>
                <w:color w:val="auto"/>
              </w:rPr>
              <w:t>Corporate functions and</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2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plan benefit costs</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interest expense</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w:t>
            </w:r>
          </w:p>
        </w:tc>
        <w:tc>
          <w:tcPr>
            <w:tcW w:w="0" w:type="dxa"/>
            <w:vAlign w:val="bottom"/>
          </w:tcPr>
          <w:p>
            <w:pPr>
              <w:spacing w:after="0"/>
              <w:rPr>
                <w:sz w:val="1"/>
                <w:szCs w:val="1"/>
                <w:color w:val="auto"/>
              </w:rPr>
            </w:pPr>
          </w:p>
        </w:tc>
      </w:tr>
      <w:tr>
        <w:trPr>
          <w:trHeight w:val="135"/>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Share-based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compensation</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(644)</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Amortization of</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2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Intangible assets</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(1,878)</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(1,966)</w:t>
            </w:r>
          </w:p>
        </w:tc>
        <w:tc>
          <w:tcPr>
            <w:tcW w:w="0" w:type="dxa"/>
            <w:vAlign w:val="bottom"/>
          </w:tcPr>
          <w:p>
            <w:pPr>
              <w:spacing w:after="0"/>
              <w:rPr>
                <w:sz w:val="1"/>
                <w:szCs w:val="1"/>
                <w:color w:val="auto"/>
              </w:rPr>
            </w:pPr>
          </w:p>
        </w:tc>
      </w:tr>
      <w:tr>
        <w:trPr>
          <w:trHeight w:val="15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Other, net (b)</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w:t>
            </w:r>
          </w:p>
        </w:tc>
        <w:tc>
          <w:tcPr>
            <w:tcW w:w="0" w:type="dxa"/>
            <w:vAlign w:val="bottom"/>
          </w:tcPr>
          <w:p>
            <w:pPr>
              <w:spacing w:after="0"/>
              <w:rPr>
                <w:sz w:val="1"/>
                <w:szCs w:val="1"/>
                <w:color w:val="auto"/>
              </w:rPr>
            </w:pPr>
          </w:p>
        </w:tc>
      </w:tr>
      <w:tr>
        <w:trPr>
          <w:trHeight w:val="22"/>
        </w:trPr>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1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Earnings before Taxes</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8,466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7,013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6,664</w:t>
            </w: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w:t>
      </w:r>
    </w:p>
    <w:p>
      <w:pPr>
        <w:spacing w:after="0" w:line="46" w:lineRule="exact"/>
        <w:rPr>
          <w:sz w:val="20"/>
          <w:szCs w:val="20"/>
          <w:color w:val="auto"/>
        </w:rPr>
      </w:pPr>
    </w:p>
    <w:p>
      <w:pPr>
        <w:ind w:left="700" w:right="40" w:hanging="674"/>
        <w:spacing w:after="0" w:line="272" w:lineRule="auto"/>
        <w:tabs>
          <w:tab w:leader="none" w:pos="7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2025, foreign exchange favorably impacted net sales and unfavorably impacted operating earnings. In 2024 and 2023, foreign exchange unfavorably impacted net sales and operating earnings.</w:t>
      </w:r>
    </w:p>
    <w:p>
      <w:pPr>
        <w:spacing w:after="0" w:line="14" w:lineRule="exact"/>
        <w:rPr>
          <w:rFonts w:ascii="Times New Roman" w:cs="Times New Roman" w:eastAsia="Times New Roman" w:hAnsi="Times New Roman"/>
          <w:sz w:val="16"/>
          <w:szCs w:val="16"/>
          <w:color w:val="auto"/>
        </w:rPr>
      </w:pPr>
    </w:p>
    <w:p>
      <w:pPr>
        <w:jc w:val="both"/>
        <w:ind w:left="700" w:right="20" w:hanging="674"/>
        <w:spacing w:after="0" w:line="263" w:lineRule="auto"/>
        <w:tabs>
          <w:tab w:leader="none" w:pos="7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net includes costs directly related to integrating acquired businesses and restructuring charges in 2025, 2024, and 2023. Charges and expenses for restructuring actions and other cost reduction initiatives were $287 million in 2025, $185 million in 2024, and $122 million in 2023. Other, net also includes: in 2025, $165 million for legal reserves related to a negotiated settlement; in 2024, a $143 million loss on the divestiture of a non-core business, as well as intangible and IPR&amp;D asset impairments; and in 2023, charges of $100 million related to intangible asset impairments, partially offset by income arising from fair value changes in contingent consideration related to previous business acquisitions.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Segment and Geographic Area Information (Continued)</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Additions to</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9"/>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Property and Equipment (c)</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0" w:type="dxa"/>
            <w:vAlign w:val="bottom"/>
          </w:tcPr>
          <w:p>
            <w:pPr>
              <w:spacing w:after="0"/>
              <w:rPr>
                <w:sz w:val="1"/>
                <w:szCs w:val="1"/>
                <w:color w:val="auto"/>
              </w:rPr>
            </w:pPr>
          </w:p>
        </w:tc>
      </w:tr>
      <w:tr>
        <w:trPr>
          <w:trHeight w:val="23"/>
        </w:trPr>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4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3"/>
        </w:trPr>
        <w:tc>
          <w:tcPr>
            <w:tcW w:w="3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Established Pharmaceuticals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242424"/>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96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242424"/>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242424"/>
              </w:rPr>
              <w:t>104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242424"/>
                <w:w w:val="85"/>
              </w:rPr>
              <w:t>$</w:t>
            </w:r>
          </w:p>
        </w:tc>
        <w:tc>
          <w:tcPr>
            <w:tcW w:w="7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242424"/>
              </w:rPr>
              <w:t>183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242424"/>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185</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3,540</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4242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3,087</w:t>
            </w:r>
          </w:p>
        </w:tc>
        <w:tc>
          <w:tcPr>
            <w:tcW w:w="0" w:type="dxa"/>
            <w:vAlign w:val="bottom"/>
          </w:tcPr>
          <w:p>
            <w:pPr>
              <w:spacing w:after="0"/>
              <w:rPr>
                <w:sz w:val="1"/>
                <w:szCs w:val="1"/>
                <w:color w:val="auto"/>
              </w:rPr>
            </w:pPr>
          </w:p>
        </w:tc>
      </w:tr>
      <w:tr>
        <w:trPr>
          <w:trHeight w:val="19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Nutritionals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159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242424"/>
              </w:rPr>
              <w:t>155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242424"/>
              </w:rPr>
              <w:t>382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457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4,791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4,404</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Diagnostics</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521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242424"/>
              </w:rPr>
              <w:t>499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242424"/>
              </w:rPr>
              <w:t>758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750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8,273</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7,678</w:t>
            </w:r>
          </w:p>
        </w:tc>
        <w:tc>
          <w:tcPr>
            <w:tcW w:w="0" w:type="dxa"/>
            <w:vAlign w:val="bottom"/>
          </w:tcPr>
          <w:p>
            <w:pPr>
              <w:spacing w:after="0"/>
              <w:rPr>
                <w:sz w:val="1"/>
                <w:szCs w:val="1"/>
                <w:color w:val="auto"/>
              </w:rPr>
            </w:pPr>
          </w:p>
        </w:tc>
      </w:tr>
      <w:tr>
        <w:trPr>
          <w:trHeight w:val="19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Medical Devices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343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242424"/>
              </w:rPr>
              <w:t>315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242424"/>
              </w:rPr>
              <w:t>630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604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10,689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9,472</w:t>
            </w:r>
          </w:p>
        </w:tc>
        <w:tc>
          <w:tcPr>
            <w:tcW w:w="0" w:type="dxa"/>
            <w:vAlign w:val="bottom"/>
          </w:tcPr>
          <w:p>
            <w:pPr>
              <w:spacing w:after="0"/>
              <w:rPr>
                <w:sz w:val="1"/>
                <w:szCs w:val="1"/>
                <w:color w:val="auto"/>
              </w:rPr>
            </w:pPr>
          </w:p>
        </w:tc>
      </w:tr>
      <w:tr>
        <w:trPr>
          <w:trHeight w:val="23"/>
        </w:trPr>
        <w:tc>
          <w:tcPr>
            <w:tcW w:w="3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Reportable Segments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1,119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242424"/>
              </w:rPr>
              <w:t>1,073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242424"/>
              </w:rPr>
              <w:t>1,953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1,996</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27,293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4242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24,641</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242424"/>
              </w:rPr>
              <w:t>221</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242424"/>
              </w:rPr>
              <w:t>204</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242424"/>
              </w:rPr>
              <w:t>292</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242424"/>
              </w:rPr>
              <w:t>213</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3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242424"/>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1,340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242424"/>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242424"/>
              </w:rPr>
              <w:t>1,277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242424"/>
                <w:w w:val="85"/>
              </w:rPr>
              <w:t>$</w:t>
            </w:r>
          </w:p>
        </w:tc>
        <w:tc>
          <w:tcPr>
            <w:tcW w:w="7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242424"/>
              </w:rPr>
              <w:t>2,245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242424"/>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2,209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 Assets</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27,293</w:t>
            </w:r>
          </w:p>
        </w:tc>
        <w:tc>
          <w:tcPr>
            <w:tcW w:w="60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24,641</w:t>
            </w:r>
          </w:p>
        </w:tc>
        <w:tc>
          <w:tcPr>
            <w:tcW w:w="0" w:type="dxa"/>
            <w:vAlign w:val="bottom"/>
          </w:tcPr>
          <w:p>
            <w:pPr>
              <w:spacing w:after="0"/>
              <w:rPr>
                <w:sz w:val="1"/>
                <w:szCs w:val="1"/>
                <w:color w:val="auto"/>
              </w:rPr>
            </w:pPr>
          </w:p>
        </w:tc>
      </w:tr>
      <w:tr>
        <w:trPr>
          <w:trHeight w:val="250"/>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investments</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9,857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w:t>
            </w:r>
          </w:p>
        </w:tc>
        <w:tc>
          <w:tcPr>
            <w:tcW w:w="0" w:type="dxa"/>
            <w:vAlign w:val="bottom"/>
          </w:tcPr>
          <w:p>
            <w:pPr>
              <w:spacing w:after="0"/>
              <w:rPr>
                <w:sz w:val="1"/>
                <w:szCs w:val="1"/>
                <w:color w:val="auto"/>
              </w:rPr>
            </w:pPr>
          </w:p>
        </w:tc>
      </w:tr>
      <w:tr>
        <w:trPr>
          <w:trHeight w:val="263"/>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29,561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29,755</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All other (d)</w:t>
            </w:r>
          </w:p>
        </w:tc>
        <w:tc>
          <w:tcPr>
            <w:tcW w:w="18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20,002</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18,165</w:t>
            </w:r>
          </w:p>
        </w:tc>
        <w:tc>
          <w:tcPr>
            <w:tcW w:w="0" w:type="dxa"/>
            <w:vAlign w:val="bottom"/>
          </w:tcPr>
          <w:p>
            <w:pPr>
              <w:spacing w:after="0"/>
              <w:rPr>
                <w:sz w:val="1"/>
                <w:szCs w:val="1"/>
                <w:color w:val="auto"/>
              </w:rPr>
            </w:pPr>
          </w:p>
        </w:tc>
      </w:tr>
      <w:tr>
        <w:trPr>
          <w:trHeight w:val="277"/>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86,713</w:t>
            </w:r>
          </w:p>
        </w:tc>
        <w:tc>
          <w:tcPr>
            <w:tcW w:w="60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81,414</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w:t>
      </w:r>
    </w:p>
    <w:p>
      <w:pPr>
        <w:spacing w:after="0" w:line="167" w:lineRule="exact"/>
        <w:rPr>
          <w:sz w:val="20"/>
          <w:szCs w:val="20"/>
          <w:color w:val="auto"/>
        </w:rPr>
      </w:pPr>
    </w:p>
    <w:p>
      <w:pPr>
        <w:ind w:left="480" w:hanging="454"/>
        <w:spacing w:after="0"/>
        <w:tabs>
          <w:tab w:leader="none" w:pos="4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exclude property and equipment acquired through business acquisitions.</w:t>
      </w:r>
    </w:p>
    <w:p>
      <w:pPr>
        <w:spacing w:after="0" w:line="59" w:lineRule="exact"/>
        <w:rPr>
          <w:rFonts w:ascii="Times New Roman" w:cs="Times New Roman" w:eastAsia="Times New Roman" w:hAnsi="Times New Roman"/>
          <w:sz w:val="16"/>
          <w:szCs w:val="16"/>
          <w:color w:val="auto"/>
        </w:rPr>
      </w:pPr>
    </w:p>
    <w:p>
      <w:pPr>
        <w:ind w:left="480" w:right="20" w:hanging="454"/>
        <w:spacing w:after="0" w:line="263" w:lineRule="auto"/>
        <w:tabs>
          <w:tab w:leader="none" w:pos="4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includes long-term assets associated with the defined benefit plans of $7.5 billion in 2025 and $5.7 billion in 2024, and deferred tax assets of $8.1 billion in 2025 and $8.6 billion in 2024.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Sales to External</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4"/>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Customers (e)</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9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15,452</w:t>
            </w: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r>
      <w:tr>
        <w:trPr>
          <w:trHeight w:val="26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r>
      <w:tr>
        <w:trPr>
          <w:trHeight w:val="26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r>
      <w:tr>
        <w:trPr>
          <w:trHeight w:val="26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50"/>
        </w:trPr>
        <w:tc>
          <w:tcPr>
            <w:tcW w:w="6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All Other Countries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14,168</w:t>
            </w:r>
          </w:p>
        </w:tc>
      </w:tr>
      <w:tr>
        <w:trPr>
          <w:trHeight w:val="281"/>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40,109</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w:t>
      </w:r>
    </w:p>
    <w:p>
      <w:pPr>
        <w:spacing w:after="0" w:line="59" w:lineRule="exact"/>
        <w:rPr>
          <w:sz w:val="20"/>
          <w:szCs w:val="20"/>
          <w:color w:val="auto"/>
        </w:rPr>
      </w:pPr>
    </w:p>
    <w:p>
      <w:pPr>
        <w:ind w:left="480" w:hanging="454"/>
        <w:spacing w:after="0"/>
        <w:tabs>
          <w:tab w:leader="none" w:pos="4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by country are based on the country that sold the product.</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Long-lived assets on a geographic basis primarily include property and equipment. It excludes goodwill, intangible assets, deferred tax assets, and financial instruments. At December 31, 2025, and 2024, long-lived assets totaled $22.2 billion and $18.5 billion, respectively, and in the U.S. such assets totaled $11.9 billion and $10.3 billion, respectively. Long-lived asset balances associated with other countries were not material on an individual country basis in either of the two years.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Report on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management of Abbott Laboratories is responsible for establishing and maintaining adequate internal control over financial reporting. Abbott’s internal control system was designed to provide reasonable assurance to the company’s management and board of directors regarding the preparation and fair presentation of published financial statements.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Abbott’s management assessed the effectiveness of the company’s internal control over financial reporting as of December 31, 2025. In making this assessment, it used the criteria set forth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our assessment, we believe that, as of December 31, 2025, the company’s internal control over financial reporting was effective based on those criteria.</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Abbott’s independent registered public accounting firm has issued an audit report on their assessment of the effectiveness of the company’s internal control over financial reporting. This report appears on page 80.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B. Ford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 P. Boudreau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Finance and Chief Financial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A. McCoy,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Finance and Controller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360" w:firstLine="3364"/>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Abbott Laboratories </w:t>
      </w:r>
      <w:r>
        <w:rPr>
          <w:rFonts w:ascii="Times New Roman" w:cs="Times New Roman" w:eastAsia="Times New Roman" w:hAnsi="Times New Roman"/>
          <w:sz w:val="18"/>
          <w:szCs w:val="18"/>
          <w:b w:val="1"/>
          <w:bCs w:val="1"/>
          <w:color w:val="auto"/>
        </w:rPr>
        <w:t>Opinion on the Financial Statements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Abbott Laboratories and subsidiaries (the Company) as of December 31, 2025 and 2024, the related consolidated statements of earnings, comprehensive income, shareholders’ investment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20, 2026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line="284"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 – Unrecognized tax benefits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disclosed in Note 15 to the consolidated financial statements, unrecognized tax benefits were approximately $4.0 billion at December 31, 2025. The Company operates in a complex global tax environment and is subject to tax laws and regulations in numerous countries. Uncertain tax positions may arise from interpretations and judgments made by the Company in the application of the relevant tax statutes, regulations, rulings and case law across the numerous countries. The Company uses significant judgement in the application of the tax laws and regulations in its accounting for uncertain tax positions in certain countries.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Auditing the accounting for uncertain tax positions was challenging because the recognition of some of the uncertain tax positions in certain countries is judgmental and is based on interpretations of tax statutes, regulations, rulings and case law.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process to monitor and assess the technical merits of some of the tax positions taken in certain countries. We also identified and tested controls over the Company’s process to determine the application of the relevant tax statutes, regulations, rulings and case law, including management’s process to determine the amount, if any, to recognize from the related tax positions.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the assistance of our income tax professionals, we performed audit procedures that included, among others, evaluating the technical merits of some of the Company’s tax positions in certain countries, including the reasonableness of management’s judgment with respect to the interpretation of tax laws and regulations by reading and evaluating management’s documentation. We also tested the appropriateness and consistency of management’s methods and data associated with the measurement of unrecognized tax benefits for those tax positions, including assessing the amount of tax benefit, if any, to be recognized.</w:t>
      </w:r>
    </w:p>
    <w:p>
      <w:pPr>
        <w:spacing w:after="0" w:line="200" w:lineRule="exact"/>
        <w:rPr>
          <w:sz w:val="20"/>
          <w:szCs w:val="20"/>
          <w:color w:val="auto"/>
        </w:rPr>
      </w:pPr>
    </w:p>
    <w:p>
      <w:pPr>
        <w:sectPr>
          <w:pgSz w:w="11900" w:h="16838" w:orient="portrait"/>
          <w:cols w:equalWidth="0" w:num="2">
            <w:col w:w="2740" w:space="120"/>
            <w:col w:w="8360"/>
          </w:cols>
          <w:pgMar w:left="320" w:top="121" w:right="359" w:bottom="1440" w:gutter="0" w:footer="0" w:header="0"/>
          <w:type w:val="continuous"/>
        </w:sectPr>
      </w:pP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360" w:firstLine="3364"/>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Abbott Laboratories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Abbott Laboratories and subsidiaries’ internal control over financial reporting as of December 31, 2025, based on criteria established in Internal Control—Integrated Framework issued by the Committee of Sponsoring Organizations of the Treadway Commission (2013 framework) (the COSO criteria). In our opinion, Abbott Laboratories and subsidiaries (the Company) maintained, in all material respects, effective internal control over financial reporting as of December 31, 2025, based on the COSO criteria.</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earnings, comprehensive income, shareholders' investment and cash flows for each of the three years in the period ended December 31, 2025, and the related notes and our report dated February 20, 2026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0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The Chief Executive Officer, Robert B. Ford, and the Chief Financial Officer, Philip P. Boudreau,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evaluated the effectiveness of Abbott Laboratories’ disclosure controls and procedures as of the end of the period covered by this report, and concluded that Abbott Laboratories’ disclosure controls and procedures were effective to ensure that information Abbott is required to disclose in the reports that it files or submits with the Commission under the Securities Exchange Act of 1934 (the Exchange Act) is recorded, processed, summarized and reported, within the time periods specified in the Commission’s rules and forms, and to ensure that information required to be disclosed by Abbott in the reports that it files or submits under the Exchange Act is accumulated and communicated to Abbott’s management, including its principal executive officer and principal financial officer, as appropriate to allow timely decisions regarding required disclosure.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1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Management’s annual report on internal control over financial reporting. </w:t>
      </w:r>
      <w:r>
        <w:rPr>
          <w:rFonts w:ascii="Times New Roman" w:cs="Times New Roman" w:eastAsia="Times New Roman" w:hAnsi="Times New Roman"/>
          <w:sz w:val="18"/>
          <w:szCs w:val="18"/>
          <w:color w:val="auto"/>
        </w:rPr>
        <w:t>Management’s report on Abbott’s internal control over financial reporting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on page 77 hereof. The report of Abbott’s independent registered public accounting firm related to their assessment of the effectiveness of internal control over financial reporting is included on page 80 hereof.</w:t>
      </w:r>
    </w:p>
    <w:p>
      <w:pPr>
        <w:spacing w:after="0" w:line="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During the quarter ended December 31, 2025, there were no changes in Abbott’s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(as defined in Rule 13a-15(f) under the Exchange Act) that have materially affected, or are reasonably likely to materially affect, Abbott’s internal control over financial reporting.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right="30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Incorporated herein by reference are "Item 1: Election of directors," "Committees of the Board of Directors," "Corporate governance matters," "Delinquent Section 16(a) reports," and "Procedure for recommendation and nomination of directors and transaction of business at Annual Meeting" to be included in the 2026 Abbott Laboratories Proxy Statement. The 2026 Proxy Statement will be filed on or about March 13, 2026. Also incorporated herein by reference is the text found under the caption, “Information About Our Executive Officers” on pages 19 through 20 hereof.</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Abbott has a code of ethics that applies to its principal executive officer, principal financial officer, and principal accounting officer and controller. That code is part of Abbott’s code of business conduct which is available free of charge through Abbott’s investor relations website (</w:t>
      </w:r>
      <w:r>
        <w:rPr>
          <w:rFonts w:ascii="Times New Roman" w:cs="Times New Roman" w:eastAsia="Times New Roman" w:hAnsi="Times New Roman"/>
          <w:sz w:val="18"/>
          <w:szCs w:val="18"/>
          <w:i w:val="1"/>
          <w:iCs w:val="1"/>
          <w:color w:val="auto"/>
        </w:rPr>
        <w:t>www.abbottinvestor.com</w:t>
      </w:r>
      <w:r>
        <w:rPr>
          <w:rFonts w:ascii="Times New Roman" w:cs="Times New Roman" w:eastAsia="Times New Roman" w:hAnsi="Times New Roman"/>
          <w:sz w:val="18"/>
          <w:szCs w:val="18"/>
          <w:color w:val="auto"/>
        </w:rPr>
        <w:t>). Abbott intends to include on its website any amendment to, or waiver from, a provision of its code of ethics that applies to Abbott’s principal executive officer, principal financial officer, and principal accounting officer and controller that relates to any element of the code of ethics definition enumerated in Item 406(b) of Regulation 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material required by this Item 11 will be included in the 2026 Proxy Statement under the headings "Director compensation" and "Executive compensation," and such material is incorporated herein by reference. The 2026 Proxy Statement will be filed on or about March 13, 2026.</w:t>
      </w:r>
    </w:p>
    <w:p>
      <w:pPr>
        <w:spacing w:after="0" w:line="158" w:lineRule="exact"/>
        <w:rPr>
          <w:sz w:val="20"/>
          <w:szCs w:val="20"/>
          <w:color w:val="auto"/>
        </w:rPr>
      </w:pPr>
    </w:p>
    <w:p>
      <w:pPr>
        <w:ind w:left="820" w:right="560" w:hanging="809"/>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49" w:lineRule="exact"/>
        <w:rPr>
          <w:sz w:val="20"/>
          <w:szCs w:val="20"/>
          <w:color w:val="auto"/>
        </w:rPr>
      </w:pPr>
    </w:p>
    <w:p>
      <w:pPr>
        <w:ind w:left="340" w:hanging="332"/>
        <w:spacing w:after="0" w:line="284" w:lineRule="auto"/>
        <w:tabs>
          <w:tab w:leader="none" w:pos="33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 Compensation Plan Information</w:t>
      </w:r>
      <w:r>
        <w:rPr>
          <w:rFonts w:ascii="Times New Roman" w:cs="Times New Roman" w:eastAsia="Times New Roman" w:hAnsi="Times New Roman"/>
          <w:sz w:val="18"/>
          <w:szCs w:val="18"/>
          <w:color w:val="auto"/>
        </w:rPr>
        <w:t>. Incorporated herein by reference in the material under the heading "Equity compensation plan information"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2026 Proxy Statement. The 2026 Proxy Statement will be filed on or about March 13, 2026.</w:t>
      </w:r>
    </w:p>
    <w:p>
      <w:pPr>
        <w:spacing w:after="0" w:line="50"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Information Concerning Security Ownership</w:t>
      </w:r>
      <w:r>
        <w:rPr>
          <w:rFonts w:ascii="Times New Roman" w:cs="Times New Roman" w:eastAsia="Times New Roman" w:hAnsi="Times New Roman"/>
          <w:sz w:val="18"/>
          <w:szCs w:val="18"/>
          <w:color w:val="auto"/>
        </w:rPr>
        <w:t>. Incorporated herein by reference is the material under the headings "Security ownership of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and directors" and "Information concerning security ownership" in the 2026 Proxy Statement. The 2026 Proxy Statement will be filed on or about March 13,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The material to be included in the 2026 Proxy Statement under the headings "Director independence," "Corporate governance matters," and "Approval process for related person transactions" is incorporated herein by reference. The 2026 Proxy Statement will be filed on or about March 13, 2026.</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material to be included in the 2026 Proxy Statement under the headings "Audit fees and Non-audit fees" and "Policy on Audit Committee pre-approval of audit and permissible non-audit services of the independent auditor" is incorporated herein by reference. The 2026 Proxy Statement will be filed on or about March 13, 2026.</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19"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Documents filed as part of this Form 10-K.</w:t>
      </w:r>
    </w:p>
    <w:p>
      <w:pPr>
        <w:spacing w:after="0" w:line="117" w:lineRule="exact"/>
        <w:rPr>
          <w:rFonts w:ascii="Times New Roman" w:cs="Times New Roman" w:eastAsia="Times New Roman" w:hAnsi="Times New Roman"/>
          <w:sz w:val="18"/>
          <w:szCs w:val="18"/>
          <w:i w:val="1"/>
          <w:iCs w:val="1"/>
          <w:color w:val="auto"/>
        </w:rPr>
      </w:pPr>
    </w:p>
    <w:p>
      <w:pPr>
        <w:ind w:left="640" w:hanging="308"/>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See Item 8, “Financial Statements and Supplementary Data,” on page 41 hereof, for a list of financial statements.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 Schedules: </w:t>
      </w:r>
      <w:r>
        <w:rPr>
          <w:rFonts w:ascii="Times New Roman" w:cs="Times New Roman" w:eastAsia="Times New Roman" w:hAnsi="Times New Roman"/>
          <w:sz w:val="18"/>
          <w:szCs w:val="18"/>
          <w:color w:val="auto"/>
        </w:rPr>
        <w:t>The required financial statement schedules are found on the pages indicated below. These schedules should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read in conjunction with the Consolidated Financial Statements of Abbott Laboratories: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7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Abbott Laboratories Financial Statement Schedules</w:t>
            </w:r>
          </w:p>
        </w:tc>
        <w:tc>
          <w:tcPr>
            <w:tcW w:w="14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23"/>
        </w:trPr>
        <w:tc>
          <w:tcPr>
            <w:tcW w:w="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5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Valuation and Qualifying Accounts (Schedule II)</w:t>
            </w:r>
          </w:p>
        </w:tc>
        <w:tc>
          <w:tcPr>
            <w:tcW w:w="6200" w:type="dxa"/>
            <w:vAlign w:val="bottom"/>
            <w:gridSpan w:val="3"/>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r>
      <w:tr>
        <w:trPr>
          <w:trHeight w:val="277"/>
        </w:trPr>
        <w:tc>
          <w:tcPr>
            <w:tcW w:w="20" w:type="dxa"/>
            <w:vAlign w:val="bottom"/>
          </w:tcPr>
          <w:p>
            <w:pPr>
              <w:spacing w:after="0"/>
              <w:rPr>
                <w:sz w:val="24"/>
                <w:szCs w:val="24"/>
                <w:color w:val="auto"/>
              </w:rPr>
            </w:pPr>
          </w:p>
        </w:tc>
        <w:tc>
          <w:tcPr>
            <w:tcW w:w="9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Schedules I, III, IV, and V are not submitted because they are not applicable or not required</w:t>
            </w:r>
          </w:p>
        </w:tc>
        <w:tc>
          <w:tcPr>
            <w:tcW w:w="14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9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2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9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Individual Financial Statements of businesses acquired by the registrant have been omitted pursuant to Rule 3-05 of Regulation S-X</w:t>
            </w:r>
          </w:p>
        </w:tc>
        <w:tc>
          <w:tcPr>
            <w:tcW w:w="1480" w:type="dxa"/>
            <w:vAlign w:val="bottom"/>
          </w:tcPr>
          <w:p>
            <w:pPr>
              <w:spacing w:after="0"/>
              <w:rPr>
                <w:sz w:val="24"/>
                <w:szCs w:val="24"/>
                <w:color w:val="auto"/>
              </w:rPr>
            </w:pPr>
          </w:p>
        </w:tc>
      </w:tr>
    </w:tbl>
    <w:p>
      <w:pPr>
        <w:spacing w:after="0" w:line="196" w:lineRule="exact"/>
        <w:rPr>
          <w:sz w:val="20"/>
          <w:szCs w:val="20"/>
          <w:color w:val="auto"/>
        </w:rPr>
      </w:pPr>
    </w:p>
    <w:p>
      <w:pPr>
        <w:ind w:left="640" w:hanging="308"/>
        <w:spacing w:after="0"/>
        <w:tabs>
          <w:tab w:leader="none" w:pos="6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Exhibits Required by Item 601 of Regulation S-K: </w:t>
      </w:r>
      <w:r>
        <w:rPr>
          <w:rFonts w:ascii="Times New Roman" w:cs="Times New Roman" w:eastAsia="Times New Roman" w:hAnsi="Times New Roman"/>
          <w:sz w:val="18"/>
          <w:szCs w:val="18"/>
          <w:color w:val="auto"/>
        </w:rPr>
        <w:t>The information called for by this paragraph is set forth in Item 15(b) below.</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 filed.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 w:type="dxa"/>
            <w:vAlign w:val="bottom"/>
          </w:tcPr>
          <w:p>
            <w:pPr>
              <w:spacing w:after="0"/>
              <w:rPr>
                <w:sz w:val="14"/>
                <w:szCs w:val="14"/>
                <w:color w:val="auto"/>
              </w:rPr>
            </w:pPr>
          </w:p>
        </w:tc>
        <w:tc>
          <w:tcPr>
            <w:tcW w:w="11120" w:type="dxa"/>
            <w:vAlign w:val="bottom"/>
            <w:gridSpan w:val="21"/>
          </w:tcPr>
          <w:p>
            <w:pPr>
              <w:jc w:val="center"/>
              <w:ind w:right="10540"/>
              <w:spacing w:after="0"/>
              <w:rPr>
                <w:sz w:val="20"/>
                <w:szCs w:val="20"/>
                <w:color w:val="auto"/>
              </w:rPr>
            </w:pPr>
            <w:r>
              <w:rPr>
                <w:rFonts w:ascii="Times New Roman" w:cs="Times New Roman" w:eastAsia="Times New Roman" w:hAnsi="Times New Roman"/>
                <w:sz w:val="14"/>
                <w:szCs w:val="14"/>
                <w:b w:val="1"/>
                <w:bCs w:val="1"/>
                <w:color w:val="auto"/>
              </w:rPr>
              <w:t>10-K</w:t>
            </w:r>
          </w:p>
        </w:tc>
      </w:tr>
      <w:tr>
        <w:trPr>
          <w:trHeight w:val="162"/>
        </w:trPr>
        <w:tc>
          <w:tcPr>
            <w:tcW w:w="280" w:type="dxa"/>
            <w:vAlign w:val="bottom"/>
          </w:tcPr>
          <w:p>
            <w:pPr>
              <w:spacing w:after="0"/>
              <w:rPr>
                <w:sz w:val="14"/>
                <w:szCs w:val="14"/>
                <w:color w:val="auto"/>
              </w:rPr>
            </w:pPr>
          </w:p>
        </w:tc>
        <w:tc>
          <w:tcPr>
            <w:tcW w:w="11120" w:type="dxa"/>
            <w:vAlign w:val="bottom"/>
            <w:gridSpan w:val="21"/>
          </w:tcPr>
          <w:p>
            <w:pPr>
              <w:jc w:val="center"/>
              <w:ind w:right="10540"/>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148"/>
        </w:trPr>
        <w:tc>
          <w:tcPr>
            <w:tcW w:w="280" w:type="dxa"/>
            <w:vAlign w:val="bottom"/>
          </w:tcPr>
          <w:p>
            <w:pPr>
              <w:spacing w:after="0"/>
              <w:rPr>
                <w:sz w:val="12"/>
                <w:szCs w:val="12"/>
                <w:color w:val="auto"/>
              </w:rPr>
            </w:pPr>
          </w:p>
        </w:tc>
        <w:tc>
          <w:tcPr>
            <w:tcW w:w="11120" w:type="dxa"/>
            <w:vAlign w:val="bottom"/>
            <w:gridSpan w:val="21"/>
          </w:tcPr>
          <w:p>
            <w:pPr>
              <w:jc w:val="center"/>
              <w:ind w:right="105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Table</w:t>
            </w:r>
          </w:p>
        </w:tc>
      </w:tr>
      <w:tr>
        <w:trPr>
          <w:trHeight w:val="190"/>
        </w:trPr>
        <w:tc>
          <w:tcPr>
            <w:tcW w:w="280" w:type="dxa"/>
            <w:vAlign w:val="bottom"/>
          </w:tcPr>
          <w:p>
            <w:pPr>
              <w:spacing w:after="0"/>
              <w:rPr>
                <w:sz w:val="16"/>
                <w:szCs w:val="16"/>
                <w:color w:val="auto"/>
              </w:rPr>
            </w:pPr>
          </w:p>
        </w:tc>
        <w:tc>
          <w:tcPr>
            <w:tcW w:w="11120" w:type="dxa"/>
            <w:vAlign w:val="bottom"/>
            <w:gridSpan w:val="21"/>
          </w:tcPr>
          <w:p>
            <w:pPr>
              <w:jc w:val="center"/>
              <w:ind w:right="10540"/>
              <w:spacing w:after="0"/>
              <w:rPr>
                <w:sz w:val="20"/>
                <w:szCs w:val="20"/>
                <w:color w:val="auto"/>
              </w:rPr>
            </w:pPr>
            <w:r>
              <w:rPr>
                <w:rFonts w:ascii="Times New Roman" w:cs="Times New Roman" w:eastAsia="Times New Roman" w:hAnsi="Times New Roman"/>
                <w:sz w:val="14"/>
                <w:szCs w:val="14"/>
                <w:b w:val="1"/>
                <w:bCs w:val="1"/>
                <w:color w:val="auto"/>
              </w:rPr>
              <w:t>Item No.</w:t>
            </w:r>
          </w:p>
        </w:tc>
      </w:tr>
      <w:tr>
        <w:trPr>
          <w:trHeight w:val="51"/>
        </w:trPr>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7"/>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60" w:type="dxa"/>
            <w:vAlign w:val="bottom"/>
          </w:tcPr>
          <w:p>
            <w:pPr>
              <w:spacing w:after="0"/>
              <w:rPr>
                <w:sz w:val="24"/>
                <w:szCs w:val="24"/>
                <w:color w:val="auto"/>
              </w:rPr>
            </w:pPr>
          </w:p>
        </w:tc>
        <w:tc>
          <w:tcPr>
            <w:tcW w:w="10260" w:type="dxa"/>
            <w:vAlign w:val="bottom"/>
            <w:gridSpan w:val="20"/>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7">
              <w:r>
                <w:rPr>
                  <w:rFonts w:ascii="Times New Roman" w:cs="Times New Roman" w:eastAsia="Times New Roman" w:hAnsi="Times New Roman"/>
                  <w:sz w:val="18"/>
                  <w:szCs w:val="18"/>
                  <w:color w:val="0000FF"/>
                </w:rPr>
                <w:t>Agreement and Plan of Merger, dated as of November 19, 2025, by and among Abbott Laboratories, Badger Merger Sub I, Inc. and</w:t>
              </w:r>
            </w:hyperlink>
          </w:p>
        </w:tc>
      </w:tr>
      <w:tr>
        <w:trPr>
          <w:trHeight w:val="183"/>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40" w:type="dxa"/>
            <w:vAlign w:val="bottom"/>
            <w:tcBorders>
              <w:top w:val="single" w:sz="8" w:color="0000FF"/>
              <w:bottom w:val="single" w:sz="8" w:color="0000FF"/>
            </w:tcBorders>
            <w:gridSpan w:val="8"/>
          </w:tcPr>
          <w:p>
            <w:pPr>
              <w:spacing w:after="0" w:line="182"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Exact Sciences Corporation, filed as Exhibit 2.1 to the Abbott Laboratories Current Report on Form 8-K filed on November 20, 2025.</w:t>
              </w:r>
            </w:hyperlink>
          </w:p>
        </w:tc>
        <w:tc>
          <w:tcPr>
            <w:tcW w:w="22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60" w:type="dxa"/>
            <w:vAlign w:val="bottom"/>
          </w:tcPr>
          <w:p>
            <w:pPr>
              <w:spacing w:after="0"/>
              <w:rPr>
                <w:sz w:val="24"/>
                <w:szCs w:val="24"/>
                <w:color w:val="auto"/>
              </w:rPr>
            </w:pPr>
          </w:p>
        </w:tc>
        <w:tc>
          <w:tcPr>
            <w:tcW w:w="10260" w:type="dxa"/>
            <w:vAlign w:val="bottom"/>
            <w:gridSpan w:val="20"/>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8">
              <w:r>
                <w:rPr>
                  <w:rFonts w:ascii="Times New Roman" w:cs="Times New Roman" w:eastAsia="Times New Roman" w:hAnsi="Times New Roman"/>
                  <w:sz w:val="18"/>
                  <w:szCs w:val="18"/>
                  <w:color w:val="0000FF"/>
                </w:rPr>
                <w:t>Amended and Restated Articles of Incorporation of Abbott Laboratories, filed as Exhibit 3.1 to the Abbott Laboratories Current</w:t>
              </w:r>
            </w:hyperlink>
          </w:p>
        </w:tc>
      </w:tr>
      <w:tr>
        <w:trPr>
          <w:trHeight w:val="183"/>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00" w:type="dxa"/>
            <w:vAlign w:val="bottom"/>
            <w:tcBorders>
              <w:top w:val="single" w:sz="8" w:color="0000FF"/>
            </w:tcBorders>
            <w:gridSpan w:val="10"/>
          </w:tcPr>
          <w:p>
            <w:pPr>
              <w:spacing w:after="0" w:line="182"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Report on Form 8-K filed on April 26,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84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60" w:type="dxa"/>
            <w:vAlign w:val="bottom"/>
          </w:tcPr>
          <w:p>
            <w:pPr>
              <w:spacing w:after="0"/>
              <w:rPr>
                <w:sz w:val="24"/>
                <w:szCs w:val="24"/>
                <w:color w:val="auto"/>
              </w:rPr>
            </w:pPr>
          </w:p>
        </w:tc>
        <w:tc>
          <w:tcPr>
            <w:tcW w:w="10260" w:type="dxa"/>
            <w:vAlign w:val="bottom"/>
            <w:gridSpan w:val="20"/>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9">
              <w:r>
                <w:rPr>
                  <w:rFonts w:ascii="Times New Roman" w:cs="Times New Roman" w:eastAsia="Times New Roman" w:hAnsi="Times New Roman"/>
                  <w:sz w:val="18"/>
                  <w:szCs w:val="18"/>
                  <w:color w:val="0000FF"/>
                </w:rPr>
                <w:t>Amended and Restated By-Laws of Abbott Laboratories, effective December 12, 2025, filed as Exhibit 3.1 to the Abbott Laboratories</w:t>
              </w:r>
            </w:hyperlink>
          </w:p>
        </w:tc>
      </w:tr>
      <w:tr>
        <w:trPr>
          <w:trHeight w:val="183"/>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60" w:type="dxa"/>
            <w:vAlign w:val="bottom"/>
            <w:tcBorders>
              <w:top w:val="single" w:sz="8" w:color="0000FF"/>
            </w:tcBorders>
            <w:gridSpan w:val="13"/>
          </w:tcPr>
          <w:p>
            <w:pPr>
              <w:spacing w:after="0" w:line="182"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Current Report on Form 8-K filed on December 12, 2025.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8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4"/>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60" w:type="dxa"/>
            <w:vAlign w:val="bottom"/>
          </w:tcPr>
          <w:p>
            <w:pPr>
              <w:spacing w:after="0"/>
              <w:rPr>
                <w:sz w:val="24"/>
                <w:szCs w:val="24"/>
                <w:color w:val="auto"/>
              </w:rPr>
            </w:pPr>
          </w:p>
        </w:tc>
        <w:tc>
          <w:tcPr>
            <w:tcW w:w="10260" w:type="dxa"/>
            <w:vAlign w:val="bottom"/>
            <w:gridSpan w:val="20"/>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0">
              <w:r>
                <w:rPr>
                  <w:rFonts w:ascii="Times New Roman" w:cs="Times New Roman" w:eastAsia="Times New Roman" w:hAnsi="Times New Roman"/>
                  <w:sz w:val="18"/>
                  <w:szCs w:val="18"/>
                  <w:color w:val="0000FF"/>
                </w:rPr>
                <w:t>Indenture dated as of February 9, 2001, between Abbott Laboratories and The Bank of New York Mellon Trust Company, N.A. (as</w:t>
              </w:r>
            </w:hyperlink>
          </w:p>
        </w:tc>
      </w:tr>
      <w:tr>
        <w:trPr>
          <w:trHeight w:val="183"/>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20" w:type="dxa"/>
            <w:vAlign w:val="bottom"/>
            <w:tcBorders>
              <w:top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successor to J.P. Morgan Trust Company, National Association, successor to Bank One Trust Company, N.A.) (including form of</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56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Security), filed as Exhibit 4.1 to the Abbott Laboratories Registration Statement on Form S-3 dated February 12, 2001.</w:t>
              </w:r>
            </w:hyperlink>
          </w:p>
        </w:tc>
        <w:tc>
          <w:tcPr>
            <w:tcW w:w="122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45"/>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60" w:type="dxa"/>
            <w:vAlign w:val="bottom"/>
          </w:tcPr>
          <w:p>
            <w:pPr>
              <w:spacing w:after="0"/>
              <w:rPr>
                <w:sz w:val="24"/>
                <w:szCs w:val="24"/>
                <w:color w:val="auto"/>
              </w:rPr>
            </w:pPr>
          </w:p>
        </w:tc>
        <w:tc>
          <w:tcPr>
            <w:tcW w:w="10260" w:type="dxa"/>
            <w:vAlign w:val="bottom"/>
            <w:gridSpan w:val="20"/>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1">
              <w:r>
                <w:rPr>
                  <w:rFonts w:ascii="Times New Roman" w:cs="Times New Roman" w:eastAsia="Times New Roman" w:hAnsi="Times New Roman"/>
                  <w:sz w:val="18"/>
                  <w:szCs w:val="18"/>
                  <w:color w:val="0000FF"/>
                </w:rPr>
                <w:t>Supplemental Indenture dated as of February 27, 2006, between Abbott Laboratories and The Bank of New York Mellon Trust</w:t>
              </w:r>
            </w:hyperlink>
          </w:p>
        </w:tc>
      </w:tr>
      <w:tr>
        <w:trPr>
          <w:trHeight w:val="183"/>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20" w:type="dxa"/>
            <w:vAlign w:val="bottom"/>
            <w:tcBorders>
              <w:top w:val="single" w:sz="8" w:color="0000FF"/>
              <w:bottom w:val="single" w:sz="8" w:color="0000FF"/>
            </w:tcBorders>
            <w:gridSpan w:val="11"/>
          </w:tcPr>
          <w:p>
            <w:pPr>
              <w:spacing w:after="0" w:line="182"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Company, N.A. (as successor to J.P. Morgan Trust Company, National Association), filed as Exhibit 4.2 to the Abbott Laboratories</w:t>
              </w:r>
            </w:hyperlink>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40" w:type="dxa"/>
            <w:vAlign w:val="bottom"/>
            <w:tcBorders>
              <w:bottom w:val="single" w:sz="8" w:color="0000FF"/>
            </w:tcBorders>
            <w:gridSpan w:val="4"/>
          </w:tcPr>
          <w:p>
            <w:pPr>
              <w:spacing w:after="0" w:line="182"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Registration Statement on Form S-3 dated February 28, 2006.</w:t>
              </w:r>
            </w:hyperlink>
          </w:p>
        </w:tc>
        <w:tc>
          <w:tcPr>
            <w:tcW w:w="5360" w:type="dxa"/>
            <w:vAlign w:val="bottom"/>
            <w:gridSpan w:val="11"/>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45"/>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60" w:type="dxa"/>
            <w:vAlign w:val="bottom"/>
          </w:tcPr>
          <w:p>
            <w:pPr>
              <w:spacing w:after="0"/>
              <w:rPr>
                <w:sz w:val="24"/>
                <w:szCs w:val="24"/>
                <w:color w:val="auto"/>
              </w:rPr>
            </w:pPr>
          </w:p>
        </w:tc>
        <w:tc>
          <w:tcPr>
            <w:tcW w:w="10260" w:type="dxa"/>
            <w:vAlign w:val="bottom"/>
            <w:gridSpan w:val="20"/>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2">
              <w:r>
                <w:rPr>
                  <w:rFonts w:ascii="Times New Roman" w:cs="Times New Roman" w:eastAsia="Times New Roman" w:hAnsi="Times New Roman"/>
                  <w:sz w:val="18"/>
                  <w:szCs w:val="18"/>
                  <w:color w:val="0000FF"/>
                </w:rPr>
                <w:t>Form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1,000,000,000 6.150% Note due 2037, filed as Exhibit 99.6 to the Abbott Laboratories Current Report on Form 8-K dated</w:t>
              </w:r>
            </w:hyperlink>
          </w:p>
        </w:tc>
      </w:tr>
      <w:tr>
        <w:trPr>
          <w:trHeight w:val="183"/>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40" w:type="dxa"/>
            <w:vAlign w:val="bottom"/>
            <w:tcBorders>
              <w:top w:val="single" w:sz="8" w:color="0000FF"/>
            </w:tcBorders>
            <w:gridSpan w:val="17"/>
          </w:tcPr>
          <w:p>
            <w:pPr>
              <w:spacing w:after="0" w:line="182"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November 6, 2007.</w:t>
              </w:r>
            </w:hyperlink>
          </w:p>
        </w:tc>
        <w:tc>
          <w:tcPr>
            <w:tcW w:w="40" w:type="dxa"/>
            <w:vAlign w:val="bottom"/>
            <w:gridSpan w:val="2"/>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500" w:type="dxa"/>
            <w:vAlign w:val="bottom"/>
            <w:tcBorders>
              <w:left w:val="single" w:sz="8" w:color="0000FF"/>
            </w:tcBorders>
            <w:gridSpan w:val="4"/>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344"/>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60" w:type="dxa"/>
            <w:vAlign w:val="bottom"/>
          </w:tcPr>
          <w:p>
            <w:pPr>
              <w:spacing w:after="0"/>
              <w:rPr>
                <w:sz w:val="24"/>
                <w:szCs w:val="24"/>
                <w:color w:val="auto"/>
              </w:rPr>
            </w:pPr>
          </w:p>
        </w:tc>
        <w:tc>
          <w:tcPr>
            <w:tcW w:w="10260" w:type="dxa"/>
            <w:vAlign w:val="bottom"/>
            <w:gridSpan w:val="20"/>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3">
              <w:r>
                <w:rPr>
                  <w:rFonts w:ascii="Times New Roman" w:cs="Times New Roman" w:eastAsia="Times New Roman" w:hAnsi="Times New Roman"/>
                  <w:sz w:val="18"/>
                  <w:szCs w:val="18"/>
                  <w:color w:val="0000FF"/>
                </w:rPr>
                <w:t>Actions of the Authorized Officers with respect to Abbott’s 5.150% Notes due 2012, 5.600% Notes due 2017 and 6.150% Notes due</w:t>
              </w:r>
            </w:hyperlink>
          </w:p>
        </w:tc>
      </w:tr>
      <w:tr>
        <w:trPr>
          <w:trHeight w:val="183"/>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40" w:type="dxa"/>
            <w:vAlign w:val="bottom"/>
            <w:tcBorders>
              <w:top w:val="single" w:sz="8" w:color="0000FF"/>
              <w:bottom w:val="single" w:sz="8" w:color="0000FF"/>
            </w:tcBorders>
            <w:gridSpan w:val="6"/>
          </w:tcPr>
          <w:p>
            <w:pPr>
              <w:spacing w:after="0" w:line="182"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2037, filed as Exhibit 99.3 to the Abbott Laboratories Current Report on Form 8-K dated November 6, 2007.</w:t>
              </w:r>
            </w:hyperlink>
          </w:p>
        </w:tc>
        <w:tc>
          <w:tcPr>
            <w:tcW w:w="1900" w:type="dxa"/>
            <w:vAlign w:val="bottom"/>
            <w:tcBorders>
              <w:top w:val="single" w:sz="8" w:color="0000FF"/>
            </w:tcBorders>
            <w:gridSpan w:val="6"/>
          </w:tcPr>
          <w:p>
            <w:pPr>
              <w:spacing w:after="0"/>
              <w:rPr>
                <w:sz w:val="15"/>
                <w:szCs w:val="15"/>
                <w:color w:val="auto"/>
              </w:rPr>
            </w:pPr>
          </w:p>
        </w:tc>
        <w:tc>
          <w:tcPr>
            <w:tcW w:w="140" w:type="dxa"/>
            <w:vAlign w:val="bottom"/>
            <w:gridSpan w:val="7"/>
          </w:tcPr>
          <w:p>
            <w:pPr>
              <w:spacing w:after="0"/>
              <w:rPr>
                <w:sz w:val="15"/>
                <w:szCs w:val="15"/>
                <w:color w:val="auto"/>
              </w:rPr>
            </w:pPr>
          </w:p>
        </w:tc>
      </w:tr>
      <w:tr>
        <w:trPr>
          <w:trHeight w:val="345"/>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60" w:type="dxa"/>
            <w:vAlign w:val="bottom"/>
          </w:tcPr>
          <w:p>
            <w:pPr>
              <w:spacing w:after="0"/>
              <w:rPr>
                <w:sz w:val="24"/>
                <w:szCs w:val="24"/>
                <w:color w:val="auto"/>
              </w:rPr>
            </w:pPr>
          </w:p>
        </w:tc>
        <w:tc>
          <w:tcPr>
            <w:tcW w:w="10260" w:type="dxa"/>
            <w:vAlign w:val="bottom"/>
            <w:gridSpan w:val="20"/>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4">
              <w:r>
                <w:rPr>
                  <w:rFonts w:ascii="Times New Roman" w:cs="Times New Roman" w:eastAsia="Times New Roman" w:hAnsi="Times New Roman"/>
                  <w:sz w:val="18"/>
                  <w:szCs w:val="18"/>
                  <w:color w:val="0000FF"/>
                </w:rPr>
                <w:t>Form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1,000,000,000 6.000% Note due 2039, filed as Exhibit 99.5 to the Abbott Laboratories Current Report on Form 8-K dated</w:t>
              </w:r>
            </w:hyperlink>
          </w:p>
        </w:tc>
      </w:tr>
      <w:tr>
        <w:trPr>
          <w:trHeight w:val="183"/>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40" w:type="dxa"/>
            <w:vAlign w:val="bottom"/>
            <w:tcBorders>
              <w:top w:val="single" w:sz="8" w:color="0000FF"/>
            </w:tcBorders>
            <w:gridSpan w:val="17"/>
          </w:tcPr>
          <w:p>
            <w:pPr>
              <w:spacing w:after="0" w:line="182"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February 26, 2009.</w:t>
              </w:r>
            </w:hyperlink>
          </w:p>
        </w:tc>
        <w:tc>
          <w:tcPr>
            <w:tcW w:w="40" w:type="dxa"/>
            <w:vAlign w:val="bottom"/>
            <w:gridSpan w:val="2"/>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345"/>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60" w:type="dxa"/>
            <w:vAlign w:val="bottom"/>
          </w:tcPr>
          <w:p>
            <w:pPr>
              <w:spacing w:after="0"/>
              <w:rPr>
                <w:sz w:val="24"/>
                <w:szCs w:val="24"/>
                <w:color w:val="auto"/>
              </w:rPr>
            </w:pPr>
          </w:p>
        </w:tc>
        <w:tc>
          <w:tcPr>
            <w:tcW w:w="10260" w:type="dxa"/>
            <w:vAlign w:val="bottom"/>
            <w:gridSpan w:val="20"/>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5">
              <w:r>
                <w:rPr>
                  <w:rFonts w:ascii="Times New Roman" w:cs="Times New Roman" w:eastAsia="Times New Roman" w:hAnsi="Times New Roman"/>
                  <w:sz w:val="18"/>
                  <w:szCs w:val="18"/>
                  <w:color w:val="0000FF"/>
                </w:rPr>
                <w:t>Actions of the Authorized Officers with respect to Abbott’s 5.125% Note due 2019 and 6.000% Note due 2039, filed as Exhibit 99.3</w:t>
              </w:r>
            </w:hyperlink>
          </w:p>
        </w:tc>
      </w:tr>
      <w:tr>
        <w:trPr>
          <w:trHeight w:val="183"/>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6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to the Abbott Laboratories Current Report on Form 8-K dated February 26, 2009.</w:t>
              </w:r>
            </w:hyperlink>
          </w:p>
        </w:tc>
        <w:tc>
          <w:tcPr>
            <w:tcW w:w="3820" w:type="dxa"/>
            <w:vAlign w:val="bottom"/>
            <w:tcBorders>
              <w:top w:val="single" w:sz="8" w:color="0000FF"/>
            </w:tcBorders>
            <w:gridSpan w:val="4"/>
          </w:tcPr>
          <w:p>
            <w:pPr>
              <w:spacing w:after="0"/>
              <w:rPr>
                <w:sz w:val="15"/>
                <w:szCs w:val="15"/>
                <w:color w:val="auto"/>
              </w:rPr>
            </w:pPr>
          </w:p>
        </w:tc>
        <w:tc>
          <w:tcPr>
            <w:tcW w:w="200" w:type="dxa"/>
            <w:vAlign w:val="bottom"/>
            <w:gridSpan w:val="10"/>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10-K</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Table</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140" w:type="dxa"/>
            <w:vAlign w:val="bottom"/>
            <w:tcBorders>
              <w:bottom w:val="single" w:sz="8" w:color="auto"/>
            </w:tcBorders>
          </w:tcPr>
          <w:p>
            <w:pPr>
              <w:spacing w:after="0"/>
              <w:rPr>
                <w:sz w:val="3"/>
                <w:szCs w:val="3"/>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520" w:type="dxa"/>
            <w:vAlign w:val="bottom"/>
            <w:gridSpan w:val="8"/>
            <w:vMerge w:val="restart"/>
          </w:tcPr>
          <w:p>
            <w:pPr>
              <w:spacing w:after="0"/>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Form of 2040 Note, filed as Exhibit 99.6 to the Abbott Laboratories Current Report on Form 8-K dated May 27, 2010.</w:t>
              </w:r>
            </w:hyperlink>
          </w:p>
        </w:tc>
        <w:tc>
          <w:tcPr>
            <w:tcW w:w="220" w:type="dxa"/>
            <w:vAlign w:val="bottom"/>
            <w:vMerge w:val="restart"/>
          </w:tcPr>
          <w:p>
            <w:pPr>
              <w:spacing w:after="0"/>
              <w:rPr>
                <w:sz w:val="3"/>
                <w:szCs w:val="3"/>
                <w:color w:val="auto"/>
              </w:rPr>
            </w:pPr>
          </w:p>
        </w:tc>
        <w:tc>
          <w:tcPr>
            <w:tcW w:w="72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11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4.7</w:t>
            </w:r>
          </w:p>
        </w:tc>
        <w:tc>
          <w:tcPr>
            <w:tcW w:w="380" w:type="dxa"/>
            <w:vAlign w:val="bottom"/>
            <w:vMerge w:val="continue"/>
          </w:tcPr>
          <w:p>
            <w:pPr>
              <w:spacing w:after="0"/>
              <w:rPr>
                <w:sz w:val="14"/>
                <w:szCs w:val="14"/>
                <w:color w:val="auto"/>
              </w:rPr>
            </w:pPr>
          </w:p>
        </w:tc>
        <w:tc>
          <w:tcPr>
            <w:tcW w:w="8520" w:type="dxa"/>
            <w:vAlign w:val="bottom"/>
            <w:tcBorders>
              <w:bottom w:val="single" w:sz="8" w:color="0000FF"/>
            </w:tcBorders>
            <w:gridSpan w:val="8"/>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10300" w:type="dxa"/>
            <w:vAlign w:val="bottom"/>
            <w:gridSpan w:val="26"/>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8">
              <w:r>
                <w:rPr>
                  <w:rFonts w:ascii="Times New Roman" w:cs="Times New Roman" w:eastAsia="Times New Roman" w:hAnsi="Times New Roman"/>
                  <w:sz w:val="18"/>
                  <w:szCs w:val="18"/>
                  <w:color w:val="0000FF"/>
                </w:rPr>
                <w:t>Actions of the Authorized Officers with respect to Abbott’s 2.70% Notes, 4.125% Notes and 5.30% Notes, filed as Exhibit 99.3 to the</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60" w:type="dxa"/>
            <w:vAlign w:val="bottom"/>
            <w:tcBorders>
              <w:top w:val="single" w:sz="8" w:color="0000FF"/>
            </w:tcBorders>
            <w:gridSpan w:val="17"/>
          </w:tcPr>
          <w:p>
            <w:pPr>
              <w:spacing w:after="0" w:line="182"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Abbott Laboratories Current Report on Form 8-K dated May 27, 2010.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10300" w:type="dxa"/>
            <w:vAlign w:val="bottom"/>
            <w:gridSpan w:val="26"/>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9">
              <w:r>
                <w:rPr>
                  <w:rFonts w:ascii="Times New Roman" w:cs="Times New Roman" w:eastAsia="Times New Roman" w:hAnsi="Times New Roman"/>
                  <w:sz w:val="18"/>
                  <w:szCs w:val="18"/>
                  <w:color w:val="0000FF"/>
                </w:rPr>
                <w:t>Indenture, dated as of March 10, 2015, between Abbott Laboratories and U.S. Bank National Association (including form of</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76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Security), filed as Exhibit 4.1 to the Abbott Laboratories Current Report on Form 8-K dated March 5, 2015.</w:t>
              </w:r>
            </w:hyperlink>
          </w:p>
        </w:tc>
        <w:tc>
          <w:tcPr>
            <w:tcW w:w="2060" w:type="dxa"/>
            <w:vAlign w:val="bottom"/>
            <w:tcBorders>
              <w:top w:val="single" w:sz="8" w:color="0000FF"/>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10300" w:type="dxa"/>
            <w:vAlign w:val="bottom"/>
            <w:gridSpan w:val="26"/>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0">
              <w:r>
                <w:rPr>
                  <w:rFonts w:ascii="Times New Roman" w:cs="Times New Roman" w:eastAsia="Times New Roman" w:hAnsi="Times New Roman"/>
                  <w:sz w:val="18"/>
                  <w:szCs w:val="18"/>
                  <w:color w:val="0000FF"/>
                </w:rPr>
                <w:t>Form of 2.950% Note due 2025, filed as Exhibit 99.6 to the Abbott Laboratories Current Report on Form 8-K dated March 5, 2015.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20" w:type="dxa"/>
            <w:vAlign w:val="bottom"/>
            <w:tcBorders>
              <w:left w:val="single" w:sz="8" w:color="0000FF"/>
            </w:tcBorders>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4.11</w:t>
            </w:r>
          </w:p>
        </w:tc>
        <w:tc>
          <w:tcPr>
            <w:tcW w:w="10300" w:type="dxa"/>
            <w:vAlign w:val="bottom"/>
            <w:gridSpan w:val="26"/>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1">
              <w:r>
                <w:rPr>
                  <w:rFonts w:ascii="Times New Roman" w:cs="Times New Roman" w:eastAsia="Times New Roman" w:hAnsi="Times New Roman"/>
                  <w:sz w:val="18"/>
                  <w:szCs w:val="18"/>
                  <w:color w:val="0000FF"/>
                </w:rPr>
                <w:t>Actions of the Authorized Officers with respect to Abbott’s 2.000% Notes, 2.550% Notes and 2.950% Notes, filed as Exhibit 99.3 to</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00" w:type="dxa"/>
            <w:vAlign w:val="bottom"/>
            <w:tcBorders>
              <w:top w:val="single" w:sz="8" w:color="0000FF"/>
            </w:tcBorders>
            <w:gridSpan w:val="14"/>
          </w:tcPr>
          <w:p>
            <w:pPr>
              <w:spacing w:after="0" w:line="182"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the Abbott Laboratories Current Report on Form 8-K dated March 5, 2015.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4.12</w:t>
            </w:r>
          </w:p>
        </w:tc>
        <w:tc>
          <w:tcPr>
            <w:tcW w:w="10300" w:type="dxa"/>
            <w:vAlign w:val="bottom"/>
            <w:gridSpan w:val="26"/>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2">
              <w:r>
                <w:rPr>
                  <w:rFonts w:ascii="Times New Roman" w:cs="Times New Roman" w:eastAsia="Times New Roman" w:hAnsi="Times New Roman"/>
                  <w:sz w:val="18"/>
                  <w:szCs w:val="18"/>
                  <w:color w:val="0000FF"/>
                </w:rPr>
                <w:t>Form of 3.750% Notes due 2026, filed as Exhibit 4.5 to the Abbott Laboratories Current Report on Form 8-K dated November 22,</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3"/>
              </w:rPr>
            </w:pPr>
            <w:hyperlink r:id="rId132">
              <w:r>
                <w:rPr>
                  <w:rFonts w:ascii="Times New Roman" w:cs="Times New Roman" w:eastAsia="Times New Roman" w:hAnsi="Times New Roman"/>
                  <w:sz w:val="18"/>
                  <w:szCs w:val="18"/>
                  <w:color w:val="0000FF"/>
                  <w:w w:val="93"/>
                </w:rPr>
                <w:t>2016.</w:t>
              </w:r>
            </w:hyperlink>
          </w:p>
        </w:tc>
        <w:tc>
          <w:tcPr>
            <w:tcW w:w="20" w:type="dxa"/>
            <w:vAlign w:val="bottom"/>
            <w:tcBorders>
              <w:top w:val="single" w:sz="8" w:color="0000FF"/>
            </w:tcBorders>
          </w:tcPr>
          <w:p>
            <w:pPr>
              <w:spacing w:after="0"/>
              <w:rPr>
                <w:sz w:val="15"/>
                <w:szCs w:val="15"/>
                <w:color w:val="auto"/>
              </w:rPr>
            </w:pPr>
          </w:p>
        </w:tc>
        <w:tc>
          <w:tcPr>
            <w:tcW w:w="1500" w:type="dxa"/>
            <w:vAlign w:val="bottom"/>
            <w:tcBorders>
              <w:top w:val="single" w:sz="8" w:color="0000FF"/>
            </w:tcBorders>
          </w:tcPr>
          <w:p>
            <w:pPr>
              <w:spacing w:after="0"/>
              <w:rPr>
                <w:sz w:val="15"/>
                <w:szCs w:val="15"/>
                <w:color w:val="auto"/>
              </w:rPr>
            </w:pPr>
          </w:p>
        </w:tc>
        <w:tc>
          <w:tcPr>
            <w:tcW w:w="316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124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4.13</w:t>
            </w:r>
          </w:p>
        </w:tc>
        <w:tc>
          <w:tcPr>
            <w:tcW w:w="10300" w:type="dxa"/>
            <w:vAlign w:val="bottom"/>
            <w:gridSpan w:val="26"/>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3">
              <w:r>
                <w:rPr>
                  <w:rFonts w:ascii="Times New Roman" w:cs="Times New Roman" w:eastAsia="Times New Roman" w:hAnsi="Times New Roman"/>
                  <w:sz w:val="18"/>
                  <w:szCs w:val="18"/>
                  <w:color w:val="0000FF"/>
                </w:rPr>
                <w:t>Form of 4.750% Notes due 2036, filed as Exhibit 4.6 to the Abbott Laboratories Current Report on Form 8-K dated November 22,</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3"/>
              </w:rPr>
            </w:pPr>
            <w:hyperlink r:id="rId133">
              <w:r>
                <w:rPr>
                  <w:rFonts w:ascii="Times New Roman" w:cs="Times New Roman" w:eastAsia="Times New Roman" w:hAnsi="Times New Roman"/>
                  <w:sz w:val="18"/>
                  <w:szCs w:val="18"/>
                  <w:color w:val="0000FF"/>
                  <w:w w:val="93"/>
                </w:rPr>
                <w:t>2016.</w:t>
              </w:r>
            </w:hyperlink>
          </w:p>
        </w:tc>
        <w:tc>
          <w:tcPr>
            <w:tcW w:w="20" w:type="dxa"/>
            <w:vAlign w:val="bottom"/>
            <w:tcBorders>
              <w:top w:val="single" w:sz="8" w:color="0000FF"/>
            </w:tcBorders>
          </w:tcPr>
          <w:p>
            <w:pPr>
              <w:spacing w:after="0"/>
              <w:rPr>
                <w:sz w:val="15"/>
                <w:szCs w:val="15"/>
                <w:color w:val="auto"/>
              </w:rPr>
            </w:pPr>
          </w:p>
        </w:tc>
        <w:tc>
          <w:tcPr>
            <w:tcW w:w="1500" w:type="dxa"/>
            <w:vAlign w:val="bottom"/>
            <w:tcBorders>
              <w:top w:val="single" w:sz="8" w:color="0000FF"/>
            </w:tcBorders>
          </w:tcPr>
          <w:p>
            <w:pPr>
              <w:spacing w:after="0"/>
              <w:rPr>
                <w:sz w:val="15"/>
                <w:szCs w:val="15"/>
                <w:color w:val="auto"/>
              </w:rPr>
            </w:pPr>
          </w:p>
        </w:tc>
        <w:tc>
          <w:tcPr>
            <w:tcW w:w="316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124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4.14</w:t>
            </w:r>
          </w:p>
        </w:tc>
        <w:tc>
          <w:tcPr>
            <w:tcW w:w="10300" w:type="dxa"/>
            <w:vAlign w:val="bottom"/>
            <w:gridSpan w:val="26"/>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4">
              <w:r>
                <w:rPr>
                  <w:rFonts w:ascii="Times New Roman" w:cs="Times New Roman" w:eastAsia="Times New Roman" w:hAnsi="Times New Roman"/>
                  <w:sz w:val="18"/>
                  <w:szCs w:val="18"/>
                  <w:color w:val="0000FF"/>
                </w:rPr>
                <w:t>Form of 4.900% Notes due 2046, filed as Exhibit 4.7 to the Abbott Laboratories Current Report on Form 8-K dated November 22,</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8"/>
              </w:rPr>
            </w:pPr>
            <w:hyperlink r:id="rId134">
              <w:r>
                <w:rPr>
                  <w:rFonts w:ascii="Times New Roman" w:cs="Times New Roman" w:eastAsia="Times New Roman" w:hAnsi="Times New Roman"/>
                  <w:sz w:val="18"/>
                  <w:szCs w:val="18"/>
                  <w:color w:val="0000FF"/>
                  <w:w w:val="98"/>
                </w:rPr>
                <w:t>2016.</w:t>
              </w:r>
            </w:hyperlink>
          </w:p>
        </w:tc>
        <w:tc>
          <w:tcPr>
            <w:tcW w:w="1500" w:type="dxa"/>
            <w:vAlign w:val="bottom"/>
            <w:tcBorders>
              <w:top w:val="single" w:sz="8" w:color="0000FF"/>
            </w:tcBorders>
          </w:tcPr>
          <w:p>
            <w:pPr>
              <w:spacing w:after="0"/>
              <w:rPr>
                <w:sz w:val="15"/>
                <w:szCs w:val="15"/>
                <w:color w:val="auto"/>
              </w:rPr>
            </w:pPr>
          </w:p>
        </w:tc>
        <w:tc>
          <w:tcPr>
            <w:tcW w:w="316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124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4.15</w:t>
            </w:r>
          </w:p>
        </w:tc>
        <w:tc>
          <w:tcPr>
            <w:tcW w:w="10300" w:type="dxa"/>
            <w:vAlign w:val="bottom"/>
            <w:gridSpan w:val="26"/>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5">
              <w:r>
                <w:rPr>
                  <w:rFonts w:ascii="Times New Roman" w:cs="Times New Roman" w:eastAsia="Times New Roman" w:hAnsi="Times New Roman"/>
                  <w:sz w:val="18"/>
                  <w:szCs w:val="18"/>
                  <w:color w:val="0000FF"/>
                </w:rPr>
                <w:t>Officers’ Certificate Pursuant to Sections 3.1 and 3.3 of the Indenture with respect to 2.350% Notes due 2019, 2.900% Notes due</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20" w:type="dxa"/>
            <w:vAlign w:val="bottom"/>
            <w:tcBorders>
              <w:top w:val="single" w:sz="8" w:color="0000FF"/>
              <w:bottom w:val="single" w:sz="8" w:color="0000FF"/>
            </w:tcBorders>
            <w:gridSpan w:val="15"/>
          </w:tcPr>
          <w:p>
            <w:pPr>
              <w:spacing w:after="0" w:line="182"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2021, 3.400% Notes due 2023, 3.750% Notes due 2026, 4.750% Notes due 2036 and 4.900% Notes due 2046 (including forms of</w:t>
              </w:r>
            </w:hyperlink>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80" w:type="dxa"/>
            <w:vAlign w:val="bottom"/>
            <w:gridSpan w:val="18"/>
          </w:tcPr>
          <w:p>
            <w:pPr>
              <w:spacing w:after="0" w:line="182"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notes), filed as Exhibit 4.22 to the Abbott Laboratories 2016 Annual Report on Form 10-K.</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4600" w:type="dxa"/>
            <w:vAlign w:val="bottom"/>
            <w:gridSpan w:val="3"/>
            <w:shd w:val="clear" w:color="auto" w:fill="0000FF"/>
          </w:tcPr>
          <w:p>
            <w:pPr>
              <w:spacing w:after="0" w:line="20" w:lineRule="exact"/>
              <w:rPr>
                <w:sz w:val="1"/>
                <w:szCs w:val="1"/>
                <w:color w:val="auto"/>
              </w:rPr>
            </w:pPr>
          </w:p>
        </w:tc>
        <w:tc>
          <w:tcPr>
            <w:tcW w:w="2220" w:type="dxa"/>
            <w:vAlign w:val="bottom"/>
            <w:tcBorders>
              <w:left w:val="single" w:sz="8" w:color="0000FF"/>
            </w:tcBorders>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4.16</w:t>
            </w:r>
          </w:p>
        </w:tc>
        <w:tc>
          <w:tcPr>
            <w:tcW w:w="10300" w:type="dxa"/>
            <w:vAlign w:val="bottom"/>
            <w:gridSpan w:val="26"/>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6">
              <w:r>
                <w:rPr>
                  <w:rFonts w:ascii="Times New Roman" w:cs="Times New Roman" w:eastAsia="Times New Roman" w:hAnsi="Times New Roman"/>
                  <w:sz w:val="18"/>
                  <w:szCs w:val="18"/>
                  <w:color w:val="0000FF"/>
                </w:rPr>
                <w:t>Form of 3.875% Notes due 2025, filed as Exhibit 4.5 to the Abbott Laboratories Current Report on Form 8-K dated March 22, 2017.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4600" w:type="dxa"/>
            <w:vAlign w:val="bottom"/>
            <w:gridSpan w:val="3"/>
            <w:shd w:val="clear" w:color="auto" w:fill="0000FF"/>
          </w:tcPr>
          <w:p>
            <w:pPr>
              <w:spacing w:after="0" w:line="20" w:lineRule="exact"/>
              <w:rPr>
                <w:sz w:val="1"/>
                <w:szCs w:val="1"/>
                <w:color w:val="auto"/>
              </w:rPr>
            </w:pPr>
          </w:p>
        </w:tc>
        <w:tc>
          <w:tcPr>
            <w:tcW w:w="2220" w:type="dxa"/>
            <w:vAlign w:val="bottom"/>
            <w:tcBorders>
              <w:left w:val="single" w:sz="8" w:color="0000FF"/>
            </w:tcBorders>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4.17</w:t>
            </w:r>
          </w:p>
        </w:tc>
        <w:tc>
          <w:tcPr>
            <w:tcW w:w="10300" w:type="dxa"/>
            <w:vAlign w:val="bottom"/>
            <w:gridSpan w:val="26"/>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7">
              <w:r>
                <w:rPr>
                  <w:rFonts w:ascii="Times New Roman" w:cs="Times New Roman" w:eastAsia="Times New Roman" w:hAnsi="Times New Roman"/>
                  <w:sz w:val="18"/>
                  <w:szCs w:val="18"/>
                  <w:color w:val="0000FF"/>
                </w:rPr>
                <w:t>Form of 4.75% Notes due 2043, filed as Exhibit 4.6 to the Abbott Laboratories Current Report on Form 8-K dated March 22, 2017.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4600" w:type="dxa"/>
            <w:vAlign w:val="bottom"/>
            <w:gridSpan w:val="3"/>
            <w:shd w:val="clear" w:color="auto" w:fill="0000FF"/>
          </w:tcPr>
          <w:p>
            <w:pPr>
              <w:spacing w:after="0" w:line="20" w:lineRule="exact"/>
              <w:rPr>
                <w:sz w:val="1"/>
                <w:szCs w:val="1"/>
                <w:color w:val="auto"/>
              </w:rPr>
            </w:pPr>
          </w:p>
        </w:tc>
        <w:tc>
          <w:tcPr>
            <w:tcW w:w="2220" w:type="dxa"/>
            <w:vAlign w:val="bottom"/>
            <w:tcBorders>
              <w:left w:val="single" w:sz="8" w:color="0000FF"/>
            </w:tcBorders>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4.18</w:t>
            </w:r>
          </w:p>
        </w:tc>
        <w:tc>
          <w:tcPr>
            <w:tcW w:w="10300" w:type="dxa"/>
            <w:vAlign w:val="bottom"/>
            <w:gridSpan w:val="26"/>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8">
              <w:r>
                <w:rPr>
                  <w:rFonts w:ascii="Times New Roman" w:cs="Times New Roman" w:eastAsia="Times New Roman" w:hAnsi="Times New Roman"/>
                  <w:sz w:val="18"/>
                  <w:szCs w:val="18"/>
                  <w:color w:val="0000FF"/>
                </w:rPr>
                <w:t>Officers’ Certificate Pursuant to Sections 3.1 and 3.3 of the Indenture with respect to 2.000% Notes due 2018, 2.800% Notes due</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20" w:type="dxa"/>
            <w:vAlign w:val="bottom"/>
            <w:tcBorders>
              <w:top w:val="single" w:sz="8" w:color="0000FF"/>
              <w:bottom w:val="single" w:sz="8" w:color="0000FF"/>
            </w:tcBorders>
            <w:gridSpan w:val="15"/>
          </w:tcPr>
          <w:p>
            <w:pPr>
              <w:spacing w:after="0" w:line="182"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2020, 3.25% Notes due 2023, 3.875% Notes due 2025, and 4.75% Notes due 2043 (including form of notes), filed as Exhibit 4.7 to the</w:t>
              </w:r>
            </w:hyperlink>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40" w:type="dxa"/>
            <w:vAlign w:val="bottom"/>
            <w:gridSpan w:val="21"/>
          </w:tcPr>
          <w:p>
            <w:pPr>
              <w:spacing w:after="0" w:line="182"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Abbott Laboratories Quarterly Report on Form 10-Q for the period ended March 31, 2017.</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4600" w:type="dxa"/>
            <w:vAlign w:val="bottom"/>
            <w:gridSpan w:val="3"/>
            <w:shd w:val="clear" w:color="auto" w:fill="0000FF"/>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4.19</w:t>
            </w:r>
          </w:p>
        </w:tc>
        <w:tc>
          <w:tcPr>
            <w:tcW w:w="10300" w:type="dxa"/>
            <w:vAlign w:val="bottom"/>
            <w:gridSpan w:val="26"/>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9">
              <w:r>
                <w:rPr>
                  <w:rFonts w:ascii="Times New Roman" w:cs="Times New Roman" w:eastAsia="Times New Roman" w:hAnsi="Times New Roman"/>
                  <w:sz w:val="18"/>
                  <w:szCs w:val="18"/>
                  <w:color w:val="0000FF"/>
                </w:rPr>
                <w:t>Indenture, dated as of July 28, 2009, between St. Jude Medical, LLC (successor to St. Jude Medical, Inc.) and U.S. Bank National</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60" w:type="dxa"/>
            <w:vAlign w:val="bottom"/>
            <w:tcBorders>
              <w:top w:val="single" w:sz="8" w:color="0000FF"/>
            </w:tcBorders>
            <w:gridSpan w:val="22"/>
          </w:tcPr>
          <w:p>
            <w:pPr>
              <w:spacing w:after="0" w:line="182"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Association, as trustee, filed as Exhibit 4.1 to the St. Jude Medical, Inc. Current Report on Form 8-K dated July 28, 2009.</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6820" w:type="dxa"/>
            <w:vAlign w:val="bottom"/>
            <w:gridSpan w:val="6"/>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4.20</w:t>
            </w:r>
          </w:p>
        </w:tc>
        <w:tc>
          <w:tcPr>
            <w:tcW w:w="10300" w:type="dxa"/>
            <w:vAlign w:val="bottom"/>
            <w:gridSpan w:val="26"/>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0">
              <w:r>
                <w:rPr>
                  <w:rFonts w:ascii="Times New Roman" w:cs="Times New Roman" w:eastAsia="Times New Roman" w:hAnsi="Times New Roman"/>
                  <w:sz w:val="18"/>
                  <w:szCs w:val="18"/>
                  <w:color w:val="0000FF"/>
                </w:rPr>
                <w:t>Fourth Supplemental Indenture, dated as of April 2, 2013, between St. Jude Medical, LLC (successor to St. Jude Medical, Inc.) and</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80" w:type="dxa"/>
            <w:vAlign w:val="bottom"/>
            <w:tcBorders>
              <w:top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U.S. Bank National Association, as trustee, relating to St. Jude Medical, LLC’s 3.25% Senior Notes due 2023 and 4.75% Senior Notes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80" w:type="dxa"/>
            <w:vAlign w:val="bottom"/>
            <w:tcBorders>
              <w:top w:val="single" w:sz="8" w:color="0000FF"/>
            </w:tcBorders>
            <w:gridSpan w:val="13"/>
          </w:tcPr>
          <w:p>
            <w:pPr>
              <w:spacing w:after="0" w:line="182"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due 2043 (including forms of notes), filed as Exhibit 4.1 to the St. Jude Medical, Inc. Current Report on Form 8-K dated April 2,</w:t>
              </w:r>
            </w:hyperlink>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3"/>
              </w:rPr>
            </w:pPr>
            <w:hyperlink r:id="rId140">
              <w:r>
                <w:rPr>
                  <w:rFonts w:ascii="Times New Roman" w:cs="Times New Roman" w:eastAsia="Times New Roman" w:hAnsi="Times New Roman"/>
                  <w:sz w:val="18"/>
                  <w:szCs w:val="18"/>
                  <w:color w:val="0000FF"/>
                  <w:w w:val="93"/>
                </w:rPr>
                <w:t>2013.</w:t>
              </w:r>
            </w:hyperlink>
          </w:p>
        </w:tc>
        <w:tc>
          <w:tcPr>
            <w:tcW w:w="20" w:type="dxa"/>
            <w:vAlign w:val="bottom"/>
            <w:tcBorders>
              <w:top w:val="single" w:sz="8" w:color="0000FF"/>
            </w:tcBorders>
          </w:tcPr>
          <w:p>
            <w:pPr>
              <w:spacing w:after="0"/>
              <w:rPr>
                <w:sz w:val="15"/>
                <w:szCs w:val="15"/>
                <w:color w:val="auto"/>
              </w:rPr>
            </w:pPr>
          </w:p>
        </w:tc>
        <w:tc>
          <w:tcPr>
            <w:tcW w:w="1500" w:type="dxa"/>
            <w:vAlign w:val="bottom"/>
            <w:tcBorders>
              <w:top w:val="single" w:sz="8" w:color="0000FF"/>
            </w:tcBorders>
          </w:tcPr>
          <w:p>
            <w:pPr>
              <w:spacing w:after="0"/>
              <w:rPr>
                <w:sz w:val="15"/>
                <w:szCs w:val="15"/>
                <w:color w:val="auto"/>
              </w:rPr>
            </w:pPr>
          </w:p>
        </w:tc>
        <w:tc>
          <w:tcPr>
            <w:tcW w:w="316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124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4.21</w:t>
            </w:r>
          </w:p>
        </w:tc>
        <w:tc>
          <w:tcPr>
            <w:tcW w:w="10300" w:type="dxa"/>
            <w:vAlign w:val="bottom"/>
            <w:gridSpan w:val="26"/>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1">
              <w:r>
                <w:rPr>
                  <w:rFonts w:ascii="Times New Roman" w:cs="Times New Roman" w:eastAsia="Times New Roman" w:hAnsi="Times New Roman"/>
                  <w:sz w:val="18"/>
                  <w:szCs w:val="18"/>
                  <w:color w:val="0000FF"/>
                </w:rPr>
                <w:t>Fifth Supplemental Indenture, dated as of September 23, 2015, between St. Jude Medical, LLC (successor to St. Jude Medical, Inc.)</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40" w:type="dxa"/>
            <w:vAlign w:val="bottom"/>
            <w:tcBorders>
              <w:top w:val="single" w:sz="8" w:color="0000FF"/>
              <w:bottom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and U.S. Bank National Association, as trustee, relating to St. Jude Medical, LLC’s 2.000% Senior Notes due 2018, 2.800% Senior</w:t>
              </w:r>
            </w:hyperlink>
          </w:p>
        </w:tc>
        <w:tc>
          <w:tcPr>
            <w:tcW w:w="60" w:type="dxa"/>
            <w:vAlign w:val="bottom"/>
            <w:gridSpan w:val="3"/>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40" w:type="dxa"/>
            <w:vAlign w:val="bottom"/>
            <w:tcBorders>
              <w:bottom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Notes due 2020 and 3.875% Senior Notes due 2025, filed as Exhibit 4.1 to the St. Jude Medical, Inc. Current Report on Form 8-K</w:t>
              </w:r>
            </w:hyperlink>
          </w:p>
        </w:tc>
        <w:tc>
          <w:tcPr>
            <w:tcW w:w="60" w:type="dxa"/>
            <w:vAlign w:val="bottom"/>
            <w:tcBorders>
              <w:bottom w:val="single" w:sz="8" w:color="0000FF"/>
            </w:tcBorders>
            <w:gridSpan w:val="3"/>
          </w:tcPr>
          <w:p>
            <w:pPr>
              <w:spacing w:after="0"/>
              <w:rPr>
                <w:sz w:val="15"/>
                <w:szCs w:val="15"/>
                <w:color w:val="auto"/>
              </w:rPr>
            </w:pPr>
          </w:p>
        </w:tc>
        <w:tc>
          <w:tcPr>
            <w:tcW w:w="100" w:type="dxa"/>
            <w:vAlign w:val="bottom"/>
            <w:tcBorders>
              <w:bottom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20" w:type="dxa"/>
            <w:vAlign w:val="bottom"/>
            <w:tcBorders>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141">
              <w:r>
                <w:rPr>
                  <w:rFonts w:ascii="Times New Roman" w:cs="Times New Roman" w:eastAsia="Times New Roman" w:hAnsi="Times New Roman"/>
                  <w:sz w:val="18"/>
                  <w:szCs w:val="18"/>
                  <w:color w:val="0000FF"/>
                  <w:w w:val="98"/>
                </w:rPr>
                <w:t>dated September 23, 2015.</w:t>
              </w:r>
            </w:hyperlink>
          </w:p>
        </w:tc>
        <w:tc>
          <w:tcPr>
            <w:tcW w:w="7980" w:type="dxa"/>
            <w:vAlign w:val="bottom"/>
            <w:gridSpan w:val="21"/>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4.22</w:t>
            </w:r>
          </w:p>
        </w:tc>
        <w:tc>
          <w:tcPr>
            <w:tcW w:w="10300" w:type="dxa"/>
            <w:vAlign w:val="bottom"/>
            <w:gridSpan w:val="26"/>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2">
              <w:r>
                <w:rPr>
                  <w:rFonts w:ascii="Times New Roman" w:cs="Times New Roman" w:eastAsia="Times New Roman" w:hAnsi="Times New Roman"/>
                  <w:sz w:val="18"/>
                  <w:szCs w:val="18"/>
                  <w:color w:val="0000FF"/>
                </w:rPr>
                <w:t>Sixth Supplemental Indenture, dated as of January 4, 2017, among St. Jude Medical, Inc., St. Jude Medical, LLC and U.S. Bank</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National Association, as trustee, filed as Exhibit 4.1 to the St. Jude Medical, LLC Current Report on Form 8-K dated January 4, 2017.</w:t>
              </w:r>
            </w:hyperlink>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060"/>
        <w:spacing w:after="0"/>
        <w:rPr>
          <w:sz w:val="20"/>
          <w:szCs w:val="20"/>
          <w:color w:val="auto"/>
        </w:rPr>
      </w:pPr>
      <w:r>
        <w:rPr>
          <w:rFonts w:ascii="Times New Roman" w:cs="Times New Roman" w:eastAsia="Times New Roman" w:hAnsi="Times New Roman"/>
          <w:sz w:val="14"/>
          <w:szCs w:val="14"/>
          <w:b w:val="1"/>
          <w:bCs w:val="1"/>
          <w:color w:val="auto"/>
        </w:rPr>
        <w:t>10-K</w:t>
      </w:r>
    </w:p>
    <w:p>
      <w:pPr>
        <w:spacing w:after="0" w:line="19" w:lineRule="exact"/>
        <w:rPr>
          <w:sz w:val="20"/>
          <w:szCs w:val="20"/>
          <w:color w:val="auto"/>
        </w:rPr>
      </w:pPr>
    </w:p>
    <w:p>
      <w:pPr>
        <w:jc w:val="center"/>
        <w:ind w:right="100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 w:lineRule="exact"/>
        <w:rPr>
          <w:sz w:val="20"/>
          <w:szCs w:val="20"/>
          <w:color w:val="auto"/>
        </w:rPr>
      </w:pPr>
    </w:p>
    <w:p>
      <w:pPr>
        <w:jc w:val="center"/>
        <w:ind w:right="10060"/>
        <w:spacing w:after="0"/>
        <w:rPr>
          <w:sz w:val="20"/>
          <w:szCs w:val="20"/>
          <w:color w:val="auto"/>
        </w:rPr>
      </w:pPr>
      <w:r>
        <w:rPr>
          <w:rFonts w:ascii="Times New Roman" w:cs="Times New Roman" w:eastAsia="Times New Roman" w:hAnsi="Times New Roman"/>
          <w:sz w:val="14"/>
          <w:szCs w:val="14"/>
          <w:b w:val="1"/>
          <w:bCs w:val="1"/>
          <w:color w:val="auto"/>
        </w:rPr>
        <w:t>Table</w:t>
      </w:r>
    </w:p>
    <w:p>
      <w:pPr>
        <w:spacing w:after="0" w:line="1" w:lineRule="exact"/>
        <w:rPr>
          <w:sz w:val="20"/>
          <w:szCs w:val="20"/>
          <w:color w:val="auto"/>
        </w:rPr>
      </w:pPr>
    </w:p>
    <w:p>
      <w:pPr>
        <w:jc w:val="center"/>
        <w:ind w:right="10060"/>
        <w:spacing w:after="0"/>
        <w:rPr>
          <w:sz w:val="20"/>
          <w:szCs w:val="20"/>
          <w:color w:val="auto"/>
        </w:rPr>
      </w:pPr>
      <w:r>
        <w:rPr>
          <w:rFonts w:ascii="Times New Roman" w:cs="Times New Roman" w:eastAsia="Times New Roman" w:hAnsi="Times New Roman"/>
          <w:sz w:val="14"/>
          <w:szCs w:val="14"/>
          <w:b w:val="1"/>
          <w:bCs w:val="1"/>
          <w:color w:val="auto"/>
        </w:rPr>
        <w:t>Item No.</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40" w:type="dxa"/>
            <w:vAlign w:val="bottom"/>
            <w:tcBorders>
              <w:top w:val="single" w:sz="8" w:color="auto"/>
            </w:tcBorders>
          </w:tcPr>
          <w:p>
            <w:pPr>
              <w:jc w:val="right"/>
              <w:ind w:right="710"/>
              <w:spacing w:after="0" w:line="176" w:lineRule="exact"/>
              <w:rPr>
                <w:sz w:val="20"/>
                <w:szCs w:val="20"/>
                <w:color w:val="auto"/>
              </w:rPr>
            </w:pPr>
            <w:r>
              <w:rPr>
                <w:rFonts w:ascii="Times New Roman" w:cs="Times New Roman" w:eastAsia="Times New Roman" w:hAnsi="Times New Roman"/>
                <w:sz w:val="18"/>
                <w:szCs w:val="18"/>
                <w:color w:val="auto"/>
              </w:rPr>
              <w:t>4.23</w:t>
            </w:r>
          </w:p>
        </w:tc>
        <w:tc>
          <w:tcPr>
            <w:tcW w:w="10340" w:type="dxa"/>
            <w:vAlign w:val="bottom"/>
            <w:gridSpan w:val="26"/>
          </w:tcPr>
          <w:p>
            <w:pPr>
              <w:ind w:left="20"/>
              <w:spacing w:after="0" w:line="16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4">
              <w:r>
                <w:rPr>
                  <w:rFonts w:ascii="Times New Roman" w:cs="Times New Roman" w:eastAsia="Times New Roman" w:hAnsi="Times New Roman"/>
                  <w:sz w:val="18"/>
                  <w:szCs w:val="18"/>
                  <w:color w:val="0000FF"/>
                </w:rPr>
                <w:t>Form of Seventh Supplemental Indenture between St. Jude Medical, LLC and U.S. Bank National Association, as trustee, filed as</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Exhibit 4.3 to the Abbott Laboratories Registration Statement on Form S-4 dated February 21, 2017.</w:t>
              </w:r>
            </w:hyperlink>
          </w:p>
        </w:tc>
        <w:tc>
          <w:tcPr>
            <w:tcW w:w="244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4"/>
        </w:trPr>
        <w:tc>
          <w:tcPr>
            <w:tcW w:w="11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4.24</w:t>
            </w:r>
          </w:p>
        </w:tc>
        <w:tc>
          <w:tcPr>
            <w:tcW w:w="10340" w:type="dxa"/>
            <w:vAlign w:val="bottom"/>
            <w:gridSpan w:val="26"/>
          </w:tcPr>
          <w:p>
            <w:pPr>
              <w:jc w:val="right"/>
              <w:ind w:righ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5">
              <w:r>
                <w:rPr>
                  <w:rFonts w:ascii="Times New Roman" w:cs="Times New Roman" w:eastAsia="Times New Roman" w:hAnsi="Times New Roman"/>
                  <w:sz w:val="18"/>
                  <w:szCs w:val="18"/>
                  <w:color w:val="0000FF"/>
                </w:rPr>
                <w:t>Indenture dated September 27, 2018, among Abbott Ireland Financing DAC, as issuer, Abbott Laboratories, as guarantor and U.S.</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20" w:type="dxa"/>
            <w:vAlign w:val="bottom"/>
            <w:tcBorders>
              <w:top w:val="single" w:sz="8" w:color="0000FF"/>
            </w:tcBorders>
            <w:gridSpan w:val="18"/>
          </w:tcPr>
          <w:p>
            <w:pPr>
              <w:jc w:val="right"/>
              <w:ind w:right="120"/>
              <w:spacing w:after="0" w:line="182"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Bank National Association, as trustee, filed as Exhibit 4.1 to the Abbott Laboratories Current Report on Form 8-K dated September</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4"/>
              </w:rPr>
            </w:pPr>
            <w:hyperlink r:id="rId145">
              <w:r>
                <w:rPr>
                  <w:rFonts w:ascii="Times New Roman" w:cs="Times New Roman" w:eastAsia="Times New Roman" w:hAnsi="Times New Roman"/>
                  <w:sz w:val="18"/>
                  <w:szCs w:val="18"/>
                  <w:color w:val="0000FF"/>
                  <w:w w:val="94"/>
                </w:rPr>
                <w:t>27, 2018.</w:t>
              </w:r>
            </w:hyperlink>
          </w:p>
        </w:tc>
        <w:tc>
          <w:tcPr>
            <w:tcW w:w="11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1360" w:type="dxa"/>
            <w:vAlign w:val="bottom"/>
            <w:tcBorders>
              <w:top w:val="single" w:sz="8" w:color="0000FF"/>
            </w:tcBorders>
          </w:tcPr>
          <w:p>
            <w:pPr>
              <w:spacing w:after="0"/>
              <w:rPr>
                <w:sz w:val="15"/>
                <w:szCs w:val="15"/>
                <w:color w:val="auto"/>
              </w:rPr>
            </w:pPr>
          </w:p>
        </w:tc>
        <w:tc>
          <w:tcPr>
            <w:tcW w:w="35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4"/>
        </w:trPr>
        <w:tc>
          <w:tcPr>
            <w:tcW w:w="11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4.25</w:t>
            </w:r>
          </w:p>
        </w:tc>
        <w:tc>
          <w:tcPr>
            <w:tcW w:w="10340" w:type="dxa"/>
            <w:vAlign w:val="bottom"/>
            <w:gridSpan w:val="26"/>
          </w:tcPr>
          <w:p>
            <w:pPr>
              <w:jc w:val="right"/>
              <w:ind w:righ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6">
              <w:r>
                <w:rPr>
                  <w:rFonts w:ascii="Times New Roman" w:cs="Times New Roman" w:eastAsia="Times New Roman" w:hAnsi="Times New Roman"/>
                  <w:sz w:val="18"/>
                  <w:szCs w:val="18"/>
                  <w:color w:val="0000FF"/>
                </w:rPr>
                <w:t>First Supplemental Indenture dated September 27, 2018, among Abbott Ireland Financing DAC, as issuer, Abbott Laboratories, as</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00" w:type="dxa"/>
            <w:vAlign w:val="bottom"/>
            <w:tcBorders>
              <w:top w:val="single" w:sz="8" w:color="0000FF"/>
              <w:bottom w:val="single" w:sz="8" w:color="0000FF"/>
            </w:tcBorders>
            <w:gridSpan w:val="22"/>
          </w:tcPr>
          <w:p>
            <w:pPr>
              <w:jc w:val="right"/>
              <w:ind w:right="200"/>
              <w:spacing w:after="0" w:line="182"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guarantor, U.S. Bank National Association, as trustee, Elavon Financial Services DAC, U.K. Branch, as paying agent and transfer</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40" w:type="dxa"/>
            <w:vAlign w:val="bottom"/>
            <w:gridSpan w:val="24"/>
          </w:tcPr>
          <w:p>
            <w:pPr>
              <w:jc w:val="right"/>
              <w:ind w:right="240"/>
              <w:spacing w:after="0" w:line="182"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agent, and Elavon Financial Services DAC, as registrar, filed as Exhibit 4.2 to the Abbott Laboratories Current Report on Form 8-K</w:t>
              </w:r>
            </w:hyperlink>
          </w:p>
        </w:tc>
        <w:tc>
          <w:tcPr>
            <w:tcW w:w="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20" w:type="dxa"/>
            <w:vAlign w:val="bottom"/>
            <w:tcBorders>
              <w:top w:val="single" w:sz="8" w:color="0000FF"/>
              <w:bottom w:val="single" w:sz="8" w:color="0000FF"/>
            </w:tcBorders>
            <w:gridSpan w:val="4"/>
          </w:tcPr>
          <w:p>
            <w:pPr>
              <w:spacing w:after="0" w:line="182" w:lineRule="exact"/>
              <w:rPr>
                <w:rFonts w:ascii="Times New Roman" w:cs="Times New Roman" w:eastAsia="Times New Roman" w:hAnsi="Times New Roman"/>
                <w:sz w:val="18"/>
                <w:szCs w:val="18"/>
                <w:color w:val="0000FF"/>
                <w:w w:val="98"/>
              </w:rPr>
            </w:pPr>
            <w:hyperlink r:id="rId146">
              <w:r>
                <w:rPr>
                  <w:rFonts w:ascii="Times New Roman" w:cs="Times New Roman" w:eastAsia="Times New Roman" w:hAnsi="Times New Roman"/>
                  <w:sz w:val="18"/>
                  <w:szCs w:val="18"/>
                  <w:color w:val="0000FF"/>
                  <w:w w:val="98"/>
                </w:rPr>
                <w:t>dated September 27, 2018.</w:t>
              </w:r>
            </w:hyperlink>
          </w:p>
        </w:tc>
        <w:tc>
          <w:tcPr>
            <w:tcW w:w="7840" w:type="dxa"/>
            <w:vAlign w:val="bottom"/>
            <w:tcBorders>
              <w:top w:val="single" w:sz="8" w:color="0000FF"/>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44"/>
        </w:trPr>
        <w:tc>
          <w:tcPr>
            <w:tcW w:w="11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4.26</w:t>
            </w:r>
          </w:p>
        </w:tc>
        <w:tc>
          <w:tcPr>
            <w:tcW w:w="10340" w:type="dxa"/>
            <w:vAlign w:val="bottom"/>
            <w:gridSpan w:val="26"/>
          </w:tcPr>
          <w:p>
            <w:pPr>
              <w:jc w:val="right"/>
              <w:ind w:righ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7">
              <w:r>
                <w:rPr>
                  <w:rFonts w:ascii="Times New Roman" w:cs="Times New Roman" w:eastAsia="Times New Roman" w:hAnsi="Times New Roman"/>
                  <w:sz w:val="18"/>
                  <w:szCs w:val="18"/>
                  <w:color w:val="0000FF"/>
                </w:rPr>
                <w:t>Second Supplemental Indenture dated November 19, 2019, among Abbott Ireland Financing DAC, as issuer, Abbott Laboratories, as</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20" w:type="dxa"/>
            <w:vAlign w:val="bottom"/>
            <w:tcBorders>
              <w:top w:val="single" w:sz="8" w:color="0000FF"/>
            </w:tcBorders>
            <w:gridSpan w:val="23"/>
          </w:tcPr>
          <w:p>
            <w:pPr>
              <w:jc w:val="right"/>
              <w:ind w:right="220"/>
              <w:spacing w:after="0" w:line="182"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guarantor, U.S. Bank National Association, as trustee, and Elavon Financial Services DAC, as paying agent, transfer agent and</w:t>
              </w:r>
            </w:hyperlink>
          </w:p>
        </w:tc>
        <w:tc>
          <w:tcPr>
            <w:tcW w:w="4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60" w:type="dxa"/>
            <w:vAlign w:val="bottom"/>
            <w:tcBorders>
              <w:top w:val="single" w:sz="8" w:color="0000FF"/>
            </w:tcBorders>
            <w:gridSpan w:val="20"/>
          </w:tcPr>
          <w:p>
            <w:pPr>
              <w:spacing w:after="0" w:line="182"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registrar, filed as Exhibit 4.2 to the Abbott Laboratories Current Report on Form 8-K dated November 19, 2019.</w:t>
              </w:r>
            </w:hyperlink>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68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44"/>
        </w:trPr>
        <w:tc>
          <w:tcPr>
            <w:tcW w:w="11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4.27</w:t>
            </w:r>
          </w:p>
        </w:tc>
        <w:tc>
          <w:tcPr>
            <w:tcW w:w="10340" w:type="dxa"/>
            <w:vAlign w:val="bottom"/>
            <w:gridSpan w:val="26"/>
          </w:tcPr>
          <w:p>
            <w:pPr>
              <w:jc w:val="right"/>
              <w:ind w:righ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8">
              <w:r>
                <w:rPr>
                  <w:rFonts w:ascii="Times New Roman" w:cs="Times New Roman" w:eastAsia="Times New Roman" w:hAnsi="Times New Roman"/>
                  <w:sz w:val="18"/>
                  <w:szCs w:val="18"/>
                  <w:color w:val="0000FF"/>
                </w:rPr>
                <w:t>Form of 1.500% Note due 2026 (included in Exhibit 4.2 to the Abbott Laboratories Current Report on Form 8-K dated September 27,</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4"/>
              </w:rPr>
            </w:pPr>
            <w:hyperlink r:id="rId148">
              <w:r>
                <w:rPr>
                  <w:rFonts w:ascii="Times New Roman" w:cs="Times New Roman" w:eastAsia="Times New Roman" w:hAnsi="Times New Roman"/>
                  <w:sz w:val="18"/>
                  <w:szCs w:val="18"/>
                  <w:color w:val="0000FF"/>
                  <w:w w:val="94"/>
                </w:rPr>
                <w:t>2018).</w:t>
              </w:r>
            </w:hyperlink>
          </w:p>
        </w:tc>
        <w:tc>
          <w:tcPr>
            <w:tcW w:w="200" w:type="dxa"/>
            <w:vAlign w:val="bottom"/>
            <w:tcBorders>
              <w:top w:val="single" w:sz="8" w:color="0000FF"/>
            </w:tcBorders>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1360" w:type="dxa"/>
            <w:vAlign w:val="bottom"/>
            <w:tcBorders>
              <w:top w:val="single" w:sz="8" w:color="0000FF"/>
            </w:tcBorders>
          </w:tcPr>
          <w:p>
            <w:pPr>
              <w:spacing w:after="0"/>
              <w:rPr>
                <w:sz w:val="15"/>
                <w:szCs w:val="15"/>
                <w:color w:val="auto"/>
              </w:rPr>
            </w:pPr>
          </w:p>
        </w:tc>
        <w:tc>
          <w:tcPr>
            <w:tcW w:w="35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11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4.28</w:t>
            </w:r>
          </w:p>
        </w:tc>
        <w:tc>
          <w:tcPr>
            <w:tcW w:w="10340" w:type="dxa"/>
            <w:vAlign w:val="bottom"/>
            <w:gridSpan w:val="26"/>
          </w:tcPr>
          <w:p>
            <w:pPr>
              <w:jc w:val="right"/>
              <w:ind w:righ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7">
              <w:r>
                <w:rPr>
                  <w:rFonts w:ascii="Times New Roman" w:cs="Times New Roman" w:eastAsia="Times New Roman" w:hAnsi="Times New Roman"/>
                  <w:sz w:val="18"/>
                  <w:szCs w:val="18"/>
                  <w:color w:val="0000FF"/>
                </w:rPr>
                <w:t>Form of 0.375% Note due 2027 (included in Exhibit 4.2 to the Abbott Laboratories Current Report on Form 8-K dated November 19,</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4"/>
              </w:rPr>
            </w:pPr>
            <w:hyperlink r:id="rId147">
              <w:r>
                <w:rPr>
                  <w:rFonts w:ascii="Times New Roman" w:cs="Times New Roman" w:eastAsia="Times New Roman" w:hAnsi="Times New Roman"/>
                  <w:sz w:val="18"/>
                  <w:szCs w:val="18"/>
                  <w:color w:val="0000FF"/>
                  <w:w w:val="94"/>
                </w:rPr>
                <w:t>2019).</w:t>
              </w:r>
            </w:hyperlink>
          </w:p>
        </w:tc>
        <w:tc>
          <w:tcPr>
            <w:tcW w:w="200" w:type="dxa"/>
            <w:vAlign w:val="bottom"/>
            <w:tcBorders>
              <w:top w:val="single" w:sz="8" w:color="0000FF"/>
            </w:tcBorders>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1360" w:type="dxa"/>
            <w:vAlign w:val="bottom"/>
            <w:tcBorders>
              <w:top w:val="single" w:sz="8" w:color="0000FF"/>
            </w:tcBorders>
          </w:tcPr>
          <w:p>
            <w:pPr>
              <w:spacing w:after="0"/>
              <w:rPr>
                <w:sz w:val="15"/>
                <w:szCs w:val="15"/>
                <w:color w:val="auto"/>
              </w:rPr>
            </w:pPr>
          </w:p>
        </w:tc>
        <w:tc>
          <w:tcPr>
            <w:tcW w:w="35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4"/>
        </w:trPr>
        <w:tc>
          <w:tcPr>
            <w:tcW w:w="11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4.29</w:t>
            </w:r>
          </w:p>
        </w:tc>
        <w:tc>
          <w:tcPr>
            <w:tcW w:w="10340" w:type="dxa"/>
            <w:vAlign w:val="bottom"/>
            <w:gridSpan w:val="26"/>
          </w:tcPr>
          <w:p>
            <w:pPr>
              <w:jc w:val="right"/>
              <w:ind w:righ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9">
              <w:r>
                <w:rPr>
                  <w:rFonts w:ascii="Times New Roman" w:cs="Times New Roman" w:eastAsia="Times New Roman" w:hAnsi="Times New Roman"/>
                  <w:sz w:val="18"/>
                  <w:szCs w:val="18"/>
                  <w:color w:val="0000FF"/>
                </w:rPr>
                <w:t>Officers’ Certificate Pursuant to Sections 3.1 and 3.3 of the Indenture with respect to 1.150% Notes due 2028 and 1.400% Notes due</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0" w:type="dxa"/>
            <w:vAlign w:val="bottom"/>
            <w:tcBorders>
              <w:top w:val="single" w:sz="8" w:color="0000FF"/>
            </w:tcBorders>
            <w:gridSpan w:val="17"/>
          </w:tcPr>
          <w:p>
            <w:pPr>
              <w:spacing w:after="0" w:line="182"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2030, filed as Exhibit 4.2 to the Abbott Laboratories Current Report on Form 8-K dated June 22, 2020.</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68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45"/>
        </w:trPr>
        <w:tc>
          <w:tcPr>
            <w:tcW w:w="11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4.30</w:t>
            </w:r>
          </w:p>
        </w:tc>
        <w:tc>
          <w:tcPr>
            <w:tcW w:w="10340" w:type="dxa"/>
            <w:vAlign w:val="bottom"/>
            <w:gridSpan w:val="26"/>
          </w:tcPr>
          <w:p>
            <w:pPr>
              <w:jc w:val="right"/>
              <w:ind w:righ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9">
              <w:r>
                <w:rPr>
                  <w:rFonts w:ascii="Times New Roman" w:cs="Times New Roman" w:eastAsia="Times New Roman" w:hAnsi="Times New Roman"/>
                  <w:sz w:val="18"/>
                  <w:szCs w:val="18"/>
                  <w:color w:val="0000FF"/>
                </w:rPr>
                <w:t>Form of 1.150% Notes due 2028, filed as Exhibit 4.3 to the Abbott Laboratories Current Report on Form 8-K filed on June 24, 2020</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0" w:type="dxa"/>
            <w:vAlign w:val="bottom"/>
            <w:tcBorders>
              <w:top w:val="single" w:sz="8" w:color="0000FF"/>
              <w:bottom w:val="single" w:sz="8" w:color="0000FF"/>
            </w:tcBorders>
            <w:gridSpan w:val="8"/>
          </w:tcPr>
          <w:p>
            <w:pPr>
              <w:spacing w:after="0" w:line="182"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(included in Exhibit 4.2 to the Abbott Laboratories Current Report on Form 8-K dated June 22, 2020).</w:t>
              </w:r>
            </w:hyperlink>
          </w:p>
        </w:tc>
        <w:tc>
          <w:tcPr>
            <w:tcW w:w="2440" w:type="dxa"/>
            <w:vAlign w:val="bottom"/>
            <w:tcBorders>
              <w:top w:val="single" w:sz="8" w:color="0000FF"/>
            </w:tcBorders>
            <w:gridSpan w:val="11"/>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344"/>
        </w:trPr>
        <w:tc>
          <w:tcPr>
            <w:tcW w:w="11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4.31</w:t>
            </w:r>
          </w:p>
        </w:tc>
        <w:tc>
          <w:tcPr>
            <w:tcW w:w="10340" w:type="dxa"/>
            <w:vAlign w:val="bottom"/>
            <w:gridSpan w:val="26"/>
          </w:tcPr>
          <w:p>
            <w:pPr>
              <w:jc w:val="right"/>
              <w:ind w:righ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9">
              <w:r>
                <w:rPr>
                  <w:rFonts w:ascii="Times New Roman" w:cs="Times New Roman" w:eastAsia="Times New Roman" w:hAnsi="Times New Roman"/>
                  <w:sz w:val="18"/>
                  <w:szCs w:val="18"/>
                  <w:color w:val="0000FF"/>
                </w:rPr>
                <w:t>Form of 1.400% Notes due 2030, filed as Exhibit 4.4 to the Abbott Laboratories Current Report on Form 8-K filed on June 24, 2020</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0" w:type="dxa"/>
            <w:vAlign w:val="bottom"/>
            <w:tcBorders>
              <w:top w:val="single" w:sz="8" w:color="0000FF"/>
              <w:bottom w:val="single" w:sz="8" w:color="0000FF"/>
            </w:tcBorders>
            <w:gridSpan w:val="8"/>
          </w:tcPr>
          <w:p>
            <w:pPr>
              <w:spacing w:after="0" w:line="182"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(included in Exhibit 4.2 to the Abbott Laboratories Current Report on Form 8-K dated June 22, 2020).</w:t>
              </w:r>
            </w:hyperlink>
          </w:p>
        </w:tc>
        <w:tc>
          <w:tcPr>
            <w:tcW w:w="2440" w:type="dxa"/>
            <w:vAlign w:val="bottom"/>
            <w:tcBorders>
              <w:top w:val="single" w:sz="8" w:color="0000FF"/>
            </w:tcBorders>
            <w:gridSpan w:val="11"/>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353"/>
        </w:trPr>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960" w:type="dxa"/>
            <w:vAlign w:val="bottom"/>
            <w:gridSpan w:val="25"/>
          </w:tcPr>
          <w:p>
            <w:pPr>
              <w:jc w:val="right"/>
              <w:ind w:right="280"/>
              <w:spacing w:after="0"/>
              <w:rPr>
                <w:sz w:val="20"/>
                <w:szCs w:val="20"/>
                <w:color w:val="auto"/>
              </w:rPr>
            </w:pPr>
            <w:r>
              <w:rPr>
                <w:rFonts w:ascii="Times New Roman" w:cs="Times New Roman" w:eastAsia="Times New Roman" w:hAnsi="Times New Roman"/>
                <w:sz w:val="18"/>
                <w:szCs w:val="18"/>
                <w:color w:val="auto"/>
              </w:rPr>
              <w:t>Other debt instruments are omitted in accordance with Item 601(b)(4)(iii)(A) of Regulation S-K. Copies of such agreements will be</w:t>
            </w:r>
          </w:p>
        </w:tc>
      </w:tr>
      <w:tr>
        <w:trPr>
          <w:trHeight w:val="234"/>
        </w:trPr>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9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furnished to the Securities and Exchange Commission upon request.</w:t>
            </w:r>
          </w:p>
        </w:tc>
      </w:tr>
      <w:tr>
        <w:trPr>
          <w:trHeight w:val="324"/>
        </w:trPr>
        <w:tc>
          <w:tcPr>
            <w:tcW w:w="11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4.32</w:t>
            </w:r>
          </w:p>
        </w:tc>
        <w:tc>
          <w:tcPr>
            <w:tcW w:w="10340" w:type="dxa"/>
            <w:vAlign w:val="bottom"/>
            <w:gridSpan w:val="26"/>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0">
              <w:r>
                <w:rPr>
                  <w:rFonts w:ascii="Times New Roman" w:cs="Times New Roman" w:eastAsia="Times New Roman" w:hAnsi="Times New Roman"/>
                  <w:sz w:val="18"/>
                  <w:szCs w:val="18"/>
                  <w:color w:val="0000FF"/>
                </w:rPr>
                <w:t>Description of Registrant’s Securities, filed as Exhibit 4.36 to the 2021 Abbott Laboratories Annual Report on Form 10-K.</w:t>
              </w:r>
            </w:hyperlink>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100" w:type="dxa"/>
            <w:vAlign w:val="bottom"/>
            <w:gridSpan w:val="4"/>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53"/>
        </w:trPr>
        <w:tc>
          <w:tcPr>
            <w:tcW w:w="11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10.1</w:t>
            </w:r>
          </w:p>
        </w:tc>
        <w:tc>
          <w:tcPr>
            <w:tcW w:w="10340" w:type="dxa"/>
            <w:vAlign w:val="bottom"/>
            <w:gridSpan w:val="26"/>
          </w:tcPr>
          <w:p>
            <w:pPr>
              <w:jc w:val="right"/>
              <w:ind w:right="260"/>
              <w:spacing w:after="0"/>
              <w:rPr>
                <w:sz w:val="20"/>
                <w:szCs w:val="20"/>
                <w:color w:val="auto"/>
              </w:rPr>
            </w:pPr>
            <w:r>
              <w:rPr>
                <w:rFonts w:ascii="Times New Roman" w:cs="Times New Roman" w:eastAsia="Times New Roman" w:hAnsi="Times New Roman"/>
                <w:sz w:val="18"/>
                <w:szCs w:val="18"/>
                <w:color w:val="auto"/>
              </w:rPr>
              <w:t>*   Supplemental Plan Abbott Laboratories Extended Disability Plan, filed as an exhibit (pages 50-51) to the 1992 Abbott Laboratories</w:t>
            </w:r>
          </w:p>
        </w:tc>
      </w:tr>
      <w:tr>
        <w:trPr>
          <w:trHeight w:val="234"/>
        </w:trPr>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9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Annual Report on Form 10-K.**</w:t>
            </w:r>
          </w:p>
        </w:tc>
      </w:tr>
      <w:tr>
        <w:trPr>
          <w:trHeight w:val="324"/>
        </w:trPr>
        <w:tc>
          <w:tcPr>
            <w:tcW w:w="11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10.2</w:t>
            </w:r>
          </w:p>
        </w:tc>
        <w:tc>
          <w:tcPr>
            <w:tcW w:w="10340" w:type="dxa"/>
            <w:vAlign w:val="bottom"/>
            <w:gridSpan w:val="26"/>
          </w:tcPr>
          <w:p>
            <w:pPr>
              <w:jc w:val="right"/>
              <w:ind w:righ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1">
              <w:r>
                <w:rPr>
                  <w:rFonts w:ascii="Times New Roman" w:cs="Times New Roman" w:eastAsia="Times New Roman" w:hAnsi="Times New Roman"/>
                  <w:sz w:val="18"/>
                  <w:szCs w:val="18"/>
                  <w:color w:val="0000FF"/>
                </w:rPr>
                <w:t>Abbott Laboratories Deferred Compensation &amp; Restoration Plan, as amended and restated, filed as Exhibit 10.2 to Abbott</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20" w:type="dxa"/>
            <w:vAlign w:val="bottom"/>
            <w:tcBorders>
              <w:top w:val="single" w:sz="8" w:color="0000FF"/>
              <w:bottom w:val="single" w:sz="8" w:color="0000FF"/>
            </w:tcBorders>
            <w:gridSpan w:val="6"/>
          </w:tcPr>
          <w:p>
            <w:pPr>
              <w:spacing w:after="0" w:line="182"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Laboratories 2024 Annual Report on Form 10-K.**</w:t>
              </w:r>
            </w:hyperlink>
          </w:p>
        </w:tc>
        <w:tc>
          <w:tcPr>
            <w:tcW w:w="600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80" w:type="dxa"/>
            <w:vAlign w:val="bottom"/>
            <w:gridSpan w:val="4"/>
          </w:tcPr>
          <w:p>
            <w:pPr>
              <w:spacing w:after="0"/>
              <w:rPr>
                <w:sz w:val="15"/>
                <w:szCs w:val="15"/>
                <w:color w:val="auto"/>
              </w:rPr>
            </w:pPr>
          </w:p>
        </w:tc>
      </w:tr>
      <w:tr>
        <w:trPr>
          <w:trHeight w:val="345"/>
        </w:trPr>
        <w:tc>
          <w:tcPr>
            <w:tcW w:w="11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10.3</w:t>
            </w:r>
          </w:p>
        </w:tc>
        <w:tc>
          <w:tcPr>
            <w:tcW w:w="10340" w:type="dxa"/>
            <w:vAlign w:val="bottom"/>
            <w:gridSpan w:val="26"/>
          </w:tcPr>
          <w:p>
            <w:pPr>
              <w:jc w:val="right"/>
              <w:ind w:righ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2">
              <w:r>
                <w:rPr>
                  <w:rFonts w:ascii="Times New Roman" w:cs="Times New Roman" w:eastAsia="Times New Roman" w:hAnsi="Times New Roman"/>
                  <w:sz w:val="18"/>
                  <w:szCs w:val="18"/>
                  <w:color w:val="0000FF"/>
                </w:rPr>
                <w:t>Abbott Laboratories 401(k) Supplemental Plan, as amended and restated, filed as Exhibit 10.3 to Abbott Laboratories 2024 Annual</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80" w:type="dxa"/>
            <w:vAlign w:val="bottom"/>
            <w:tcBorders>
              <w:top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Report on Form 10-K.**</w:t>
              </w:r>
            </w:hyperlink>
          </w:p>
        </w:tc>
        <w:tc>
          <w:tcPr>
            <w:tcW w:w="100" w:type="dxa"/>
            <w:vAlign w:val="bottom"/>
            <w:gridSpan w:val="5"/>
          </w:tcPr>
          <w:p>
            <w:pPr>
              <w:spacing w:after="0"/>
              <w:rPr>
                <w:sz w:val="15"/>
                <w:szCs w:val="15"/>
                <w:color w:val="auto"/>
              </w:rPr>
            </w:pPr>
          </w:p>
        </w:tc>
        <w:tc>
          <w:tcPr>
            <w:tcW w:w="80" w:type="dxa"/>
            <w:vAlign w:val="bottom"/>
            <w:gridSpan w:val="4"/>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3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45"/>
        </w:trPr>
        <w:tc>
          <w:tcPr>
            <w:tcW w:w="11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10.4</w:t>
            </w:r>
          </w:p>
        </w:tc>
        <w:tc>
          <w:tcPr>
            <w:tcW w:w="10340" w:type="dxa"/>
            <w:vAlign w:val="bottom"/>
            <w:gridSpan w:val="26"/>
          </w:tcPr>
          <w:p>
            <w:pPr>
              <w:jc w:val="right"/>
              <w:ind w:righ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3">
              <w:r>
                <w:rPr>
                  <w:rFonts w:ascii="Times New Roman" w:cs="Times New Roman" w:eastAsia="Times New Roman" w:hAnsi="Times New Roman"/>
                  <w:sz w:val="18"/>
                  <w:szCs w:val="18"/>
                  <w:color w:val="0000FF"/>
                </w:rPr>
                <w:t>Abbott Laboratories Supplemental Pension Plan, as amended and restated, filed as Exhibit 10.4 to the 2014 Abbott Laboratories</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6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8"/>
              </w:rPr>
            </w:pPr>
            <w:hyperlink r:id="rId153">
              <w:r>
                <w:rPr>
                  <w:rFonts w:ascii="Times New Roman" w:cs="Times New Roman" w:eastAsia="Times New Roman" w:hAnsi="Times New Roman"/>
                  <w:sz w:val="18"/>
                  <w:szCs w:val="18"/>
                  <w:color w:val="0000FF"/>
                  <w:w w:val="98"/>
                </w:rPr>
                <w:t>Annual Report on Form 10-K.**</w:t>
              </w:r>
            </w:hyperlink>
          </w:p>
        </w:tc>
        <w:tc>
          <w:tcPr>
            <w:tcW w:w="7340" w:type="dxa"/>
            <w:vAlign w:val="bottom"/>
            <w:tcBorders>
              <w:top w:val="single" w:sz="8" w:color="0000FF"/>
            </w:tcBorders>
            <w:gridSpan w:val="7"/>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gridSpan w:val="7"/>
          </w:tcPr>
          <w:p>
            <w:pPr>
              <w:spacing w:after="0"/>
              <w:rPr>
                <w:sz w:val="15"/>
                <w:szCs w:val="15"/>
                <w:color w:val="auto"/>
              </w:rPr>
            </w:pPr>
          </w:p>
        </w:tc>
        <w:tc>
          <w:tcPr>
            <w:tcW w:w="80" w:type="dxa"/>
            <w:vAlign w:val="bottom"/>
            <w:gridSpan w:val="4"/>
          </w:tcPr>
          <w:p>
            <w:pPr>
              <w:spacing w:after="0"/>
              <w:rPr>
                <w:sz w:val="15"/>
                <w:szCs w:val="15"/>
                <w:color w:val="auto"/>
              </w:rPr>
            </w:pPr>
          </w:p>
        </w:tc>
      </w:tr>
      <w:tr>
        <w:trPr>
          <w:trHeight w:val="344"/>
        </w:trPr>
        <w:tc>
          <w:tcPr>
            <w:tcW w:w="11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10.5</w:t>
            </w:r>
          </w:p>
        </w:tc>
        <w:tc>
          <w:tcPr>
            <w:tcW w:w="10340" w:type="dxa"/>
            <w:vAlign w:val="bottom"/>
            <w:gridSpan w:val="26"/>
          </w:tcPr>
          <w:p>
            <w:pPr>
              <w:jc w:val="right"/>
              <w:ind w:righ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4">
              <w:r>
                <w:rPr>
                  <w:rFonts w:ascii="Times New Roman" w:cs="Times New Roman" w:eastAsia="Times New Roman" w:hAnsi="Times New Roman"/>
                  <w:sz w:val="18"/>
                  <w:szCs w:val="18"/>
                  <w:color w:val="0000FF"/>
                </w:rPr>
                <w:t>1986 Abbott Laboratories Management Incentive Plan, as amended and restated, filed as Exhibit 10.5 to the 2023 Abbott Laboratories</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6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8"/>
              </w:rPr>
            </w:pPr>
            <w:hyperlink r:id="rId154">
              <w:r>
                <w:rPr>
                  <w:rFonts w:ascii="Times New Roman" w:cs="Times New Roman" w:eastAsia="Times New Roman" w:hAnsi="Times New Roman"/>
                  <w:sz w:val="18"/>
                  <w:szCs w:val="18"/>
                  <w:color w:val="0000FF"/>
                  <w:w w:val="98"/>
                </w:rPr>
                <w:t>Annual Report on Form 10-K.**</w:t>
              </w:r>
            </w:hyperlink>
          </w:p>
        </w:tc>
        <w:tc>
          <w:tcPr>
            <w:tcW w:w="7520" w:type="dxa"/>
            <w:vAlign w:val="bottom"/>
            <w:tcBorders>
              <w:top w:val="single" w:sz="8" w:color="0000FF"/>
            </w:tcBorders>
            <w:gridSpan w:val="16"/>
          </w:tcPr>
          <w:p>
            <w:pPr>
              <w:spacing w:after="0"/>
              <w:rPr>
                <w:sz w:val="15"/>
                <w:szCs w:val="15"/>
                <w:color w:val="auto"/>
              </w:rPr>
            </w:pPr>
          </w:p>
        </w:tc>
        <w:tc>
          <w:tcPr>
            <w:tcW w:w="80" w:type="dxa"/>
            <w:vAlign w:val="bottom"/>
            <w:gridSpan w:val="4"/>
          </w:tcPr>
          <w:p>
            <w:pPr>
              <w:spacing w:after="0"/>
              <w:rPr>
                <w:sz w:val="15"/>
                <w:szCs w:val="15"/>
                <w:color w:val="auto"/>
              </w:rPr>
            </w:pPr>
          </w:p>
        </w:tc>
      </w:tr>
      <w:tr>
        <w:trPr>
          <w:trHeight w:val="345"/>
        </w:trPr>
        <w:tc>
          <w:tcPr>
            <w:tcW w:w="11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10.6</w:t>
            </w:r>
          </w:p>
        </w:tc>
        <w:tc>
          <w:tcPr>
            <w:tcW w:w="10340" w:type="dxa"/>
            <w:vAlign w:val="bottom"/>
            <w:gridSpan w:val="26"/>
          </w:tcPr>
          <w:p>
            <w:pPr>
              <w:jc w:val="right"/>
              <w:ind w:righ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5">
              <w:r>
                <w:rPr>
                  <w:rFonts w:ascii="Times New Roman" w:cs="Times New Roman" w:eastAsia="Times New Roman" w:hAnsi="Times New Roman"/>
                  <w:sz w:val="18"/>
                  <w:szCs w:val="18"/>
                  <w:color w:val="0000FF"/>
                </w:rPr>
                <w:t>1998 Abbott Laboratories Performance Incentive Plan, as amended and restated, filed as Exhibit 10.6 to the 2023 Abbott Laboratories</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6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8"/>
              </w:rPr>
            </w:pPr>
            <w:hyperlink r:id="rId155">
              <w:r>
                <w:rPr>
                  <w:rFonts w:ascii="Times New Roman" w:cs="Times New Roman" w:eastAsia="Times New Roman" w:hAnsi="Times New Roman"/>
                  <w:sz w:val="18"/>
                  <w:szCs w:val="18"/>
                  <w:color w:val="0000FF"/>
                  <w:w w:val="98"/>
                </w:rPr>
                <w:t>Annual Report on Form 10-K.**</w:t>
              </w:r>
            </w:hyperlink>
          </w:p>
        </w:tc>
        <w:tc>
          <w:tcPr>
            <w:tcW w:w="7380" w:type="dxa"/>
            <w:vAlign w:val="bottom"/>
            <w:tcBorders>
              <w:top w:val="single" w:sz="8" w:color="0000FF"/>
            </w:tcBorders>
            <w:gridSpan w:val="9"/>
          </w:tcPr>
          <w:p>
            <w:pPr>
              <w:spacing w:after="0"/>
              <w:rPr>
                <w:sz w:val="15"/>
                <w:szCs w:val="15"/>
                <w:color w:val="auto"/>
              </w:rPr>
            </w:pPr>
          </w:p>
        </w:tc>
        <w:tc>
          <w:tcPr>
            <w:tcW w:w="220" w:type="dxa"/>
            <w:vAlign w:val="bottom"/>
            <w:gridSpan w:val="11"/>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060"/>
        <w:spacing w:after="0"/>
        <w:rPr>
          <w:sz w:val="20"/>
          <w:szCs w:val="20"/>
          <w:color w:val="auto"/>
        </w:rPr>
      </w:pPr>
      <w:r>
        <w:rPr>
          <w:rFonts w:ascii="Times New Roman" w:cs="Times New Roman" w:eastAsia="Times New Roman" w:hAnsi="Times New Roman"/>
          <w:sz w:val="14"/>
          <w:szCs w:val="14"/>
          <w:b w:val="1"/>
          <w:bCs w:val="1"/>
          <w:color w:val="auto"/>
        </w:rPr>
        <w:t>10-K</w:t>
      </w:r>
    </w:p>
    <w:p>
      <w:pPr>
        <w:spacing w:after="0" w:line="19" w:lineRule="exact"/>
        <w:rPr>
          <w:sz w:val="20"/>
          <w:szCs w:val="20"/>
          <w:color w:val="auto"/>
        </w:rPr>
      </w:pPr>
    </w:p>
    <w:p>
      <w:pPr>
        <w:jc w:val="center"/>
        <w:ind w:right="100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 w:lineRule="exact"/>
        <w:rPr>
          <w:sz w:val="20"/>
          <w:szCs w:val="20"/>
          <w:color w:val="auto"/>
        </w:rPr>
      </w:pPr>
    </w:p>
    <w:p>
      <w:pPr>
        <w:jc w:val="center"/>
        <w:ind w:right="10060"/>
        <w:spacing w:after="0"/>
        <w:rPr>
          <w:sz w:val="20"/>
          <w:szCs w:val="20"/>
          <w:color w:val="auto"/>
        </w:rPr>
      </w:pPr>
      <w:r>
        <w:rPr>
          <w:rFonts w:ascii="Times New Roman" w:cs="Times New Roman" w:eastAsia="Times New Roman" w:hAnsi="Times New Roman"/>
          <w:sz w:val="14"/>
          <w:szCs w:val="14"/>
          <w:b w:val="1"/>
          <w:bCs w:val="1"/>
          <w:color w:val="auto"/>
        </w:rPr>
        <w:t>Table</w:t>
      </w:r>
    </w:p>
    <w:p>
      <w:pPr>
        <w:spacing w:after="0" w:line="1" w:lineRule="exact"/>
        <w:rPr>
          <w:sz w:val="20"/>
          <w:szCs w:val="20"/>
          <w:color w:val="auto"/>
        </w:rPr>
      </w:pPr>
    </w:p>
    <w:p>
      <w:pPr>
        <w:jc w:val="center"/>
        <w:ind w:right="10060"/>
        <w:spacing w:after="0"/>
        <w:rPr>
          <w:sz w:val="20"/>
          <w:szCs w:val="20"/>
          <w:color w:val="auto"/>
        </w:rPr>
      </w:pPr>
      <w:r>
        <w:rPr>
          <w:rFonts w:ascii="Times New Roman" w:cs="Times New Roman" w:eastAsia="Times New Roman" w:hAnsi="Times New Roman"/>
          <w:sz w:val="14"/>
          <w:szCs w:val="14"/>
          <w:b w:val="1"/>
          <w:bCs w:val="1"/>
          <w:color w:val="auto"/>
        </w:rPr>
        <w:t>Item No.</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4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3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920" w:type="dxa"/>
            <w:vAlign w:val="bottom"/>
            <w:tcBorders>
              <w:bottom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Rules for the 1998 Abbott Laboratories Performance Incentive Plan, as amended and restated, filed as Exhibit 10.7 to the 2012 Abbott</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20" w:type="dxa"/>
            <w:vAlign w:val="bottom"/>
            <w:gridSpan w:val="25"/>
          </w:tcPr>
          <w:p>
            <w:pPr>
              <w:spacing w:after="0" w:line="182"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Laboratories Annual Report on Form 10-K.**</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8">
              <w:r>
                <w:rPr>
                  <w:rFonts w:ascii="Times New Roman" w:cs="Times New Roman" w:eastAsia="Times New Roman" w:hAnsi="Times New Roman"/>
                  <w:sz w:val="18"/>
                  <w:szCs w:val="18"/>
                  <w:color w:val="0000FF"/>
                </w:rPr>
                <w:t>Abbott Laboratories 2009 Incentive Stock Program, as amended and restated, filed as Exhibit 10.9 to the 2014 Abbott Laboratories</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6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158">
              <w:r>
                <w:rPr>
                  <w:rFonts w:ascii="Times New Roman" w:cs="Times New Roman" w:eastAsia="Times New Roman" w:hAnsi="Times New Roman"/>
                  <w:sz w:val="18"/>
                  <w:szCs w:val="18"/>
                  <w:color w:val="0000FF"/>
                  <w:w w:val="98"/>
                </w:rPr>
                <w:t>Annual Report on Form 10-K.**</w:t>
              </w:r>
            </w:hyperlink>
          </w:p>
        </w:tc>
        <w:tc>
          <w:tcPr>
            <w:tcW w:w="7540" w:type="dxa"/>
            <w:vAlign w:val="bottom"/>
            <w:tcBorders>
              <w:top w:val="single" w:sz="8" w:color="0000FF"/>
            </w:tcBorders>
            <w:gridSpan w:val="21"/>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9">
              <w:r>
                <w:rPr>
                  <w:rFonts w:ascii="Times New Roman" w:cs="Times New Roman" w:eastAsia="Times New Roman" w:hAnsi="Times New Roman"/>
                  <w:sz w:val="18"/>
                  <w:szCs w:val="18"/>
                  <w:color w:val="0000FF"/>
                </w:rPr>
                <w:t>Abbott Laboratories 2017 Incentive Stock Program, as amended and restated, filed as Exhibit 10.9 to the 2023 Abbott Laboratories</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6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159">
              <w:r>
                <w:rPr>
                  <w:rFonts w:ascii="Times New Roman" w:cs="Times New Roman" w:eastAsia="Times New Roman" w:hAnsi="Times New Roman"/>
                  <w:sz w:val="18"/>
                  <w:szCs w:val="18"/>
                  <w:color w:val="0000FF"/>
                  <w:w w:val="98"/>
                </w:rPr>
                <w:t>Annual Report on Form 10-K.**</w:t>
              </w:r>
            </w:hyperlink>
          </w:p>
        </w:tc>
        <w:tc>
          <w:tcPr>
            <w:tcW w:w="7540" w:type="dxa"/>
            <w:vAlign w:val="bottom"/>
            <w:tcBorders>
              <w:top w:val="single" w:sz="8" w:color="0000FF"/>
            </w:tcBorders>
            <w:gridSpan w:val="21"/>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0">
              <w:r>
                <w:rPr>
                  <w:rFonts w:ascii="Times New Roman" w:cs="Times New Roman" w:eastAsia="Times New Roman" w:hAnsi="Times New Roman"/>
                  <w:sz w:val="18"/>
                  <w:szCs w:val="18"/>
                  <w:color w:val="0000FF"/>
                </w:rPr>
                <w:t>Abbott Laboratories Non-Employee Directors’ Fee Plan, as amended and restated, filed as Exhibit 10.1 to the Abbott Laboratories</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80" w:type="dxa"/>
            <w:vAlign w:val="bottom"/>
            <w:tcBorders>
              <w:top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Quarterly Report on Form 10-Q for the period ended March 31, 2025.**</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1">
              <w:r>
                <w:rPr>
                  <w:rFonts w:ascii="Times New Roman" w:cs="Times New Roman" w:eastAsia="Times New Roman" w:hAnsi="Times New Roman"/>
                  <w:sz w:val="18"/>
                  <w:szCs w:val="18"/>
                  <w:color w:val="0000FF"/>
                </w:rPr>
                <w:t>Form of Non-Employee Director Restricted Stock Unit Agreement, filed as Exhibit 10.3 to the Abbott Laboratories Current Report on</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8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Form 8-K dated April 24, 2009.**</w:t>
              </w:r>
            </w:hyperlink>
          </w:p>
        </w:tc>
        <w:tc>
          <w:tcPr>
            <w:tcW w:w="7340" w:type="dxa"/>
            <w:vAlign w:val="bottom"/>
            <w:tcBorders>
              <w:top w:val="single" w:sz="8" w:color="0000FF"/>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2">
              <w:r>
                <w:rPr>
                  <w:rFonts w:ascii="Times New Roman" w:cs="Times New Roman" w:eastAsia="Times New Roman" w:hAnsi="Times New Roman"/>
                  <w:sz w:val="18"/>
                  <w:szCs w:val="18"/>
                  <w:color w:val="0000FF"/>
                </w:rPr>
                <w:t>Form of Non-Qualified Stock Option Agreement (ratably vested), filed as Exhibit 10.5 to the Abbott Laboratories Current Report on</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60" w:type="dxa"/>
            <w:vAlign w:val="bottom"/>
            <w:tcBorders>
              <w:top w:val="single" w:sz="8" w:color="0000FF"/>
            </w:tcBorders>
            <w:gridSpan w:val="22"/>
          </w:tcPr>
          <w:p>
            <w:pPr>
              <w:spacing w:after="0" w:line="182"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8-K dated April 24, 2009.**</w:t>
              </w:r>
            </w:hyperlink>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3">
              <w:r>
                <w:rPr>
                  <w:rFonts w:ascii="Times New Roman" w:cs="Times New Roman" w:eastAsia="Times New Roman" w:hAnsi="Times New Roman"/>
                  <w:sz w:val="18"/>
                  <w:szCs w:val="18"/>
                  <w:color w:val="0000FF"/>
                </w:rPr>
                <w:t>Form of Non-Employee Director Restricted Stock Unit Agreement, filed as Exhibit 10.47 to the 2013 Abbott Laboratories Annual</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Report on Form 10-K.**</w:t>
              </w:r>
            </w:hyperlink>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4">
              <w:r>
                <w:rPr>
                  <w:rFonts w:ascii="Times New Roman" w:cs="Times New Roman" w:eastAsia="Times New Roman" w:hAnsi="Times New Roman"/>
                  <w:sz w:val="18"/>
                  <w:szCs w:val="18"/>
                  <w:color w:val="0000FF"/>
                </w:rPr>
                <w:t>Form of Non-Employee Director Restricted Stock Unit Agreement for foreign non-employee directors, filed as Exhibit 10.48 to the</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6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2013 Abbott Laboratories Annual Report on Form 10-K.**</w:t>
              </w:r>
            </w:hyperlink>
          </w:p>
        </w:tc>
        <w:tc>
          <w:tcPr>
            <w:tcW w:w="544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5">
              <w:r>
                <w:rPr>
                  <w:rFonts w:ascii="Times New Roman" w:cs="Times New Roman" w:eastAsia="Times New Roman" w:hAnsi="Times New Roman"/>
                  <w:sz w:val="18"/>
                  <w:szCs w:val="18"/>
                  <w:color w:val="0000FF"/>
                </w:rPr>
                <w:t>Form of Non-Qualified Stock Option Agreement, filed as Exhibit 10.58 to the 2013 Abbott Laboratories Annual Report on Form 10-</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40" w:type="dxa"/>
            <w:vAlign w:val="bottom"/>
            <w:tcBorders>
              <w:top w:val="single" w:sz="8" w:color="0000FF"/>
            </w:tcBorders>
            <w:gridSpan w:val="21"/>
          </w:tcPr>
          <w:p>
            <w:pPr>
              <w:spacing w:after="0" w:line="182"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K.**</w:t>
              </w:r>
            </w:hyperlink>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2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6">
              <w:r>
                <w:rPr>
                  <w:rFonts w:ascii="Times New Roman" w:cs="Times New Roman" w:eastAsia="Times New Roman" w:hAnsi="Times New Roman"/>
                  <w:sz w:val="18"/>
                  <w:szCs w:val="18"/>
                  <w:color w:val="0000FF"/>
                </w:rPr>
                <w:t>Form of Non-Qualified Stock Option Agreement for executive officers, filed as Exhibit 10.59 to the 2013 Abbott Laboratories Annual</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60" w:type="dxa"/>
            <w:vAlign w:val="bottom"/>
            <w:tcBorders>
              <w:top w:val="single" w:sz="8" w:color="0000FF"/>
            </w:tcBorders>
            <w:gridSpan w:val="27"/>
          </w:tcPr>
          <w:p>
            <w:pPr>
              <w:spacing w:after="0" w:line="182"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Report on Form 10-K.**</w:t>
              </w:r>
            </w:hyperlink>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7">
              <w:r>
                <w:rPr>
                  <w:rFonts w:ascii="Times New Roman" w:cs="Times New Roman" w:eastAsia="Times New Roman" w:hAnsi="Times New Roman"/>
                  <w:sz w:val="18"/>
                  <w:szCs w:val="18"/>
                  <w:color w:val="0000FF"/>
                </w:rPr>
                <w:t>Form of Non-Qualified Stock Option Agreement for foreign employees, filed as Exhibit 10.60 to the 2013 Abbott Laboratories</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6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167">
              <w:r>
                <w:rPr>
                  <w:rFonts w:ascii="Times New Roman" w:cs="Times New Roman" w:eastAsia="Times New Roman" w:hAnsi="Times New Roman"/>
                  <w:sz w:val="18"/>
                  <w:szCs w:val="18"/>
                  <w:color w:val="0000FF"/>
                  <w:w w:val="98"/>
                </w:rPr>
                <w:t>Annual Report on Form 10-K.**</w:t>
              </w:r>
            </w:hyperlink>
          </w:p>
        </w:tc>
        <w:tc>
          <w:tcPr>
            <w:tcW w:w="7420" w:type="dxa"/>
            <w:vAlign w:val="bottom"/>
            <w:tcBorders>
              <w:top w:val="single" w:sz="8" w:color="0000FF"/>
            </w:tcBorders>
            <w:gridSpan w:val="15"/>
          </w:tcPr>
          <w:p>
            <w:pPr>
              <w:spacing w:after="0"/>
              <w:rPr>
                <w:sz w:val="15"/>
                <w:szCs w:val="15"/>
                <w:color w:val="auto"/>
              </w:rPr>
            </w:pPr>
          </w:p>
        </w:tc>
        <w:tc>
          <w:tcPr>
            <w:tcW w:w="160" w:type="dxa"/>
            <w:vAlign w:val="bottom"/>
            <w:gridSpan w:val="8"/>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4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8">
              <w:r>
                <w:rPr>
                  <w:rFonts w:ascii="Times New Roman" w:cs="Times New Roman" w:eastAsia="Times New Roman" w:hAnsi="Times New Roman"/>
                  <w:sz w:val="18"/>
                  <w:szCs w:val="18"/>
                  <w:color w:val="0000FF"/>
                </w:rPr>
                <w:t>Form of Non-Qualified Stock Option Agreement for foreign executive officers, filed as Exhibit 10.61 to the 2013 Abbott Laboratories</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6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168">
              <w:r>
                <w:rPr>
                  <w:rFonts w:ascii="Times New Roman" w:cs="Times New Roman" w:eastAsia="Times New Roman" w:hAnsi="Times New Roman"/>
                  <w:sz w:val="18"/>
                  <w:szCs w:val="18"/>
                  <w:color w:val="0000FF"/>
                  <w:w w:val="98"/>
                </w:rPr>
                <w:t>Annual Report on Form 10-K.**</w:t>
              </w:r>
            </w:hyperlink>
          </w:p>
        </w:tc>
        <w:tc>
          <w:tcPr>
            <w:tcW w:w="7400" w:type="dxa"/>
            <w:vAlign w:val="bottom"/>
            <w:tcBorders>
              <w:top w:val="single" w:sz="8" w:color="0000FF"/>
            </w:tcBorders>
            <w:gridSpan w:val="14"/>
          </w:tcPr>
          <w:p>
            <w:pPr>
              <w:spacing w:after="0"/>
              <w:rPr>
                <w:sz w:val="15"/>
                <w:szCs w:val="15"/>
                <w:color w:val="auto"/>
              </w:rPr>
            </w:pPr>
          </w:p>
        </w:tc>
        <w:tc>
          <w:tcPr>
            <w:tcW w:w="180" w:type="dxa"/>
            <w:vAlign w:val="bottom"/>
            <w:gridSpan w:val="9"/>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4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9">
              <w:r>
                <w:rPr>
                  <w:rFonts w:ascii="Times New Roman" w:cs="Times New Roman" w:eastAsia="Times New Roman" w:hAnsi="Times New Roman"/>
                  <w:sz w:val="18"/>
                  <w:szCs w:val="18"/>
                  <w:color w:val="0000FF"/>
                </w:rPr>
                <w:t>Form of Restricted Stock Unit Agreement (ratably vested) under the Abbott Laboratories 2017 Incentive Stock Program, filed as</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40" w:type="dxa"/>
            <w:vAlign w:val="bottom"/>
            <w:tcBorders>
              <w:top w:val="single" w:sz="8" w:color="0000FF"/>
            </w:tcBorders>
            <w:gridSpan w:val="26"/>
          </w:tcPr>
          <w:p>
            <w:pPr>
              <w:spacing w:after="0" w:line="182"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Exhibit 10.2 to the Abbott Laboratories Current Report on Form 8-K dated April 28, 2017.**</w:t>
              </w:r>
            </w:hyperlink>
          </w:p>
        </w:tc>
        <w:tc>
          <w:tcPr>
            <w:tcW w:w="40" w:type="dxa"/>
            <w:vAlign w:val="bottom"/>
            <w:gridSpan w:val="2"/>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760" w:type="dxa"/>
            <w:vAlign w:val="bottom"/>
            <w:gridSpan w:val="9"/>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34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0">
              <w:r>
                <w:rPr>
                  <w:rFonts w:ascii="Times New Roman" w:cs="Times New Roman" w:eastAsia="Times New Roman" w:hAnsi="Times New Roman"/>
                  <w:sz w:val="18"/>
                  <w:szCs w:val="18"/>
                  <w:color w:val="0000FF"/>
                </w:rPr>
                <w:t>Form of Restricted Stock Unit Agreement for foreign employees (ratably vested) under the Abbott Laboratories 2017 Incentive Stock</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40" w:type="dxa"/>
            <w:vAlign w:val="bottom"/>
            <w:tcBorders>
              <w:top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Program, filed as Exhibit 10.3 to the Abbott Laboratories Current Report on Form 8-K dated April 28, 2017.**</w:t>
              </w:r>
            </w:hyperlink>
          </w:p>
        </w:tc>
        <w:tc>
          <w:tcPr>
            <w:tcW w:w="240" w:type="dxa"/>
            <w:vAlign w:val="bottom"/>
            <w:gridSpan w:val="12"/>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760" w:type="dxa"/>
            <w:vAlign w:val="bottom"/>
            <w:gridSpan w:val="9"/>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r>
      <w:tr>
        <w:trPr>
          <w:trHeight w:val="34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1">
              <w:r>
                <w:rPr>
                  <w:rFonts w:ascii="Times New Roman" w:cs="Times New Roman" w:eastAsia="Times New Roman" w:hAnsi="Times New Roman"/>
                  <w:sz w:val="18"/>
                  <w:szCs w:val="18"/>
                  <w:color w:val="0000FF"/>
                </w:rPr>
                <w:t>Form of Restricted Stock Unit Agreement (cliff vested) under the Abbott Laboratories 2017 Incentive Stock Program, filed as Exhibit</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80" w:type="dxa"/>
            <w:vAlign w:val="bottom"/>
            <w:tcBorders>
              <w:top w:val="single" w:sz="8" w:color="0000FF"/>
            </w:tcBorders>
            <w:gridSpan w:val="18"/>
          </w:tcPr>
          <w:p>
            <w:pPr>
              <w:spacing w:after="0" w:line="182"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FF"/>
                </w:rPr>
                <w:t xml:space="preserve"> to the Abbott Laboratories Current Report on Form 8-K dated April 28, 2017.**</w:t>
              </w:r>
            </w:hyperlink>
          </w:p>
        </w:tc>
        <w:tc>
          <w:tcPr>
            <w:tcW w:w="200" w:type="dxa"/>
            <w:vAlign w:val="bottom"/>
            <w:gridSpan w:val="10"/>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760" w:type="dxa"/>
            <w:vAlign w:val="bottom"/>
            <w:gridSpan w:val="9"/>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r>
      <w:tr>
        <w:trPr>
          <w:trHeight w:val="34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2">
              <w:r>
                <w:rPr>
                  <w:rFonts w:ascii="Times New Roman" w:cs="Times New Roman" w:eastAsia="Times New Roman" w:hAnsi="Times New Roman"/>
                  <w:sz w:val="18"/>
                  <w:szCs w:val="18"/>
                  <w:color w:val="0000FF"/>
                </w:rPr>
                <w:t>Form of Restricted Stock Unit Agreement for foreign employees (cliff vested) under the Abbott Laboratories 2017 Incentive Stock</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20" w:type="dxa"/>
            <w:vAlign w:val="bottom"/>
            <w:tcBorders>
              <w:top w:val="single" w:sz="8" w:color="0000FF"/>
            </w:tcBorders>
            <w:gridSpan w:val="15"/>
          </w:tcPr>
          <w:p>
            <w:pPr>
              <w:spacing w:after="0" w:line="182"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Program, filed as Exhibit 10.5 to the Abbott Laboratories Current Report on Form 8-K dated April 28, 2017.**</w:t>
              </w:r>
            </w:hyperlink>
          </w:p>
        </w:tc>
        <w:tc>
          <w:tcPr>
            <w:tcW w:w="260" w:type="dxa"/>
            <w:vAlign w:val="bottom"/>
            <w:gridSpan w:val="13"/>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760" w:type="dxa"/>
            <w:vAlign w:val="bottom"/>
            <w:gridSpan w:val="9"/>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gridSpan w:val="15"/>
          </w:tcPr>
          <w:p>
            <w:pPr>
              <w:spacing w:after="0" w:line="20" w:lineRule="exact"/>
              <w:rPr>
                <w:sz w:val="1"/>
                <w:szCs w:val="1"/>
                <w:color w:val="auto"/>
              </w:rPr>
            </w:pPr>
          </w:p>
        </w:tc>
      </w:tr>
      <w:tr>
        <w:trPr>
          <w:trHeight w:val="34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3">
              <w:r>
                <w:rPr>
                  <w:rFonts w:ascii="Times New Roman" w:cs="Times New Roman" w:eastAsia="Times New Roman" w:hAnsi="Times New Roman"/>
                  <w:sz w:val="18"/>
                  <w:szCs w:val="18"/>
                  <w:color w:val="0000FF"/>
                </w:rPr>
                <w:t>Form of Restricted Stock Agreement (ratably vested) under the Abbott Laboratories 2017 Incentive Stock Program, filed as Exhibit</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r>
                <w:rPr>
                  <w:rFonts w:ascii="Times New Roman" w:cs="Times New Roman" w:eastAsia="Times New Roman" w:hAnsi="Times New Roman"/>
                  <w:sz w:val="18"/>
                  <w:szCs w:val="18"/>
                  <w:color w:val="0000FF"/>
                </w:rPr>
                <w:t xml:space="preserve"> to the Abbott Laboratories Current Report on Form 8-K dated April 28, 2017.**</w:t>
              </w:r>
            </w:hyperlink>
          </w:p>
        </w:tc>
        <w:tc>
          <w:tcPr>
            <w:tcW w:w="180" w:type="dxa"/>
            <w:vAlign w:val="bottom"/>
            <w:gridSpan w:val="9"/>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760" w:type="dxa"/>
            <w:vAlign w:val="bottom"/>
            <w:gridSpan w:val="9"/>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300" w:type="dxa"/>
            <w:vAlign w:val="bottom"/>
            <w:gridSpan w:val="15"/>
          </w:tcPr>
          <w:p>
            <w:pPr>
              <w:spacing w:after="0" w:line="20" w:lineRule="exact"/>
              <w:rPr>
                <w:sz w:val="1"/>
                <w:szCs w:val="1"/>
                <w:color w:val="auto"/>
              </w:rPr>
            </w:pPr>
          </w:p>
        </w:tc>
      </w:tr>
      <w:tr>
        <w:trPr>
          <w:trHeight w:val="34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4">
              <w:r>
                <w:rPr>
                  <w:rFonts w:ascii="Times New Roman" w:cs="Times New Roman" w:eastAsia="Times New Roman" w:hAnsi="Times New Roman"/>
                  <w:sz w:val="18"/>
                  <w:szCs w:val="18"/>
                  <w:color w:val="0000FF"/>
                </w:rPr>
                <w:t>Form of Restricted Stock Agreement (cliff vested) under the Abbott Laboratories 2017 Incentive Stock Program, filed as Exhibit 10.9</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80" w:type="dxa"/>
            <w:vAlign w:val="bottom"/>
            <w:tcBorders>
              <w:top w:val="single" w:sz="8" w:color="0000FF"/>
            </w:tcBorders>
            <w:gridSpan w:val="13"/>
          </w:tcPr>
          <w:p>
            <w:pPr>
              <w:spacing w:after="0" w:line="182"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to the Abbott Laboratories Current Report on Form 8-K dated April 28, 2017.**</w:t>
              </w:r>
            </w:hyperlink>
          </w:p>
        </w:tc>
        <w:tc>
          <w:tcPr>
            <w:tcW w:w="300" w:type="dxa"/>
            <w:vAlign w:val="bottom"/>
            <w:gridSpan w:val="15"/>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060"/>
        <w:spacing w:after="0"/>
        <w:rPr>
          <w:sz w:val="20"/>
          <w:szCs w:val="20"/>
          <w:color w:val="auto"/>
        </w:rPr>
      </w:pPr>
      <w:r>
        <w:rPr>
          <w:rFonts w:ascii="Times New Roman" w:cs="Times New Roman" w:eastAsia="Times New Roman" w:hAnsi="Times New Roman"/>
          <w:sz w:val="14"/>
          <w:szCs w:val="14"/>
          <w:b w:val="1"/>
          <w:bCs w:val="1"/>
          <w:color w:val="auto"/>
        </w:rPr>
        <w:t>10-K</w:t>
      </w:r>
    </w:p>
    <w:p>
      <w:pPr>
        <w:spacing w:after="0" w:line="19" w:lineRule="exact"/>
        <w:rPr>
          <w:sz w:val="20"/>
          <w:szCs w:val="20"/>
          <w:color w:val="auto"/>
        </w:rPr>
      </w:pPr>
    </w:p>
    <w:p>
      <w:pPr>
        <w:jc w:val="center"/>
        <w:ind w:right="100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 w:lineRule="exact"/>
        <w:rPr>
          <w:sz w:val="20"/>
          <w:szCs w:val="20"/>
          <w:color w:val="auto"/>
        </w:rPr>
      </w:pPr>
    </w:p>
    <w:p>
      <w:pPr>
        <w:jc w:val="center"/>
        <w:ind w:right="10060"/>
        <w:spacing w:after="0"/>
        <w:rPr>
          <w:sz w:val="20"/>
          <w:szCs w:val="20"/>
          <w:color w:val="auto"/>
        </w:rPr>
      </w:pPr>
      <w:r>
        <w:rPr>
          <w:rFonts w:ascii="Times New Roman" w:cs="Times New Roman" w:eastAsia="Times New Roman" w:hAnsi="Times New Roman"/>
          <w:sz w:val="14"/>
          <w:szCs w:val="14"/>
          <w:b w:val="1"/>
          <w:bCs w:val="1"/>
          <w:color w:val="auto"/>
        </w:rPr>
        <w:t>Table</w:t>
      </w:r>
    </w:p>
    <w:p>
      <w:pPr>
        <w:spacing w:after="0" w:line="1" w:lineRule="exact"/>
        <w:rPr>
          <w:sz w:val="20"/>
          <w:szCs w:val="20"/>
          <w:color w:val="auto"/>
        </w:rPr>
      </w:pPr>
    </w:p>
    <w:p>
      <w:pPr>
        <w:jc w:val="center"/>
        <w:ind w:right="10060"/>
        <w:spacing w:after="0"/>
        <w:rPr>
          <w:sz w:val="20"/>
          <w:szCs w:val="20"/>
          <w:color w:val="auto"/>
        </w:rPr>
      </w:pPr>
      <w:r>
        <w:rPr>
          <w:rFonts w:ascii="Times New Roman" w:cs="Times New Roman" w:eastAsia="Times New Roman" w:hAnsi="Times New Roman"/>
          <w:sz w:val="14"/>
          <w:szCs w:val="14"/>
          <w:b w:val="1"/>
          <w:bCs w:val="1"/>
          <w:color w:val="auto"/>
        </w:rPr>
        <w:t>Item No.</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40" w:type="dxa"/>
            <w:vAlign w:val="bottom"/>
            <w:tcBorders>
              <w:top w:val="single" w:sz="8" w:color="auto"/>
            </w:tcBorders>
          </w:tcPr>
          <w:p>
            <w:pPr>
              <w:jc w:val="right"/>
              <w:ind w:right="610"/>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10340" w:type="dxa"/>
            <w:vAlign w:val="bottom"/>
            <w:gridSpan w:val="25"/>
          </w:tcPr>
          <w:p>
            <w:pPr>
              <w:ind w:left="20"/>
              <w:spacing w:after="0" w:line="16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6">
              <w:r>
                <w:rPr>
                  <w:rFonts w:ascii="Times New Roman" w:cs="Times New Roman" w:eastAsia="Times New Roman" w:hAnsi="Times New Roman"/>
                  <w:sz w:val="18"/>
                  <w:szCs w:val="18"/>
                  <w:color w:val="0000FF"/>
                </w:rPr>
                <w:t>Form of Non-Qualified Stock Option Agreement under the Abbott Laboratories 2017 Incentive Stock Program, filed as Exhibit 10.12</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60" w:type="dxa"/>
            <w:vAlign w:val="bottom"/>
            <w:tcBorders>
              <w:top w:val="single" w:sz="8" w:color="0000FF"/>
            </w:tcBorders>
            <w:gridSpan w:val="14"/>
          </w:tcPr>
          <w:p>
            <w:pPr>
              <w:spacing w:after="0" w:line="182"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to the Abbott Laboratories Current Report on Form 8-K dated April 28, 2017.**</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92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10.26</w:t>
            </w:r>
          </w:p>
        </w:tc>
        <w:tc>
          <w:tcPr>
            <w:tcW w:w="10340" w:type="dxa"/>
            <w:vAlign w:val="bottom"/>
            <w:gridSpan w:val="25"/>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7">
              <w:r>
                <w:rPr>
                  <w:rFonts w:ascii="Times New Roman" w:cs="Times New Roman" w:eastAsia="Times New Roman" w:hAnsi="Times New Roman"/>
                  <w:sz w:val="18"/>
                  <w:szCs w:val="18"/>
                  <w:color w:val="0000FF"/>
                </w:rPr>
                <w:t>Form of Non-Qualified Stock Option Agreement for foreign employees under the Abbott Laboratories 2017 Incentive Stock Program,</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00" w:type="dxa"/>
            <w:vAlign w:val="bottom"/>
            <w:tcBorders>
              <w:top w:val="single" w:sz="8" w:color="0000FF"/>
            </w:tcBorders>
            <w:gridSpan w:val="11"/>
          </w:tcPr>
          <w:p>
            <w:pPr>
              <w:spacing w:after="0" w:line="182"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filed as Exhibit 10.13 to the Abbott Laboratories Current Report on Form 8-K dated April 28, 2017.**</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10.27</w:t>
            </w:r>
          </w:p>
        </w:tc>
        <w:tc>
          <w:tcPr>
            <w:tcW w:w="10340" w:type="dxa"/>
            <w:vAlign w:val="bottom"/>
            <w:gridSpan w:val="25"/>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8">
              <w:r>
                <w:rPr>
                  <w:rFonts w:ascii="Times New Roman" w:cs="Times New Roman" w:eastAsia="Times New Roman" w:hAnsi="Times New Roman"/>
                  <w:sz w:val="18"/>
                  <w:szCs w:val="18"/>
                  <w:color w:val="0000FF"/>
                </w:rPr>
                <w:t>Form of Restricted Stock Unit Agreement for executive officers (cliff vested) under the Abbott Laboratories 2017 Incentive Stock</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80" w:type="dxa"/>
            <w:vAlign w:val="bottom"/>
            <w:tcBorders>
              <w:top w:val="single" w:sz="8" w:color="0000FF"/>
              <w:bottom w:val="single" w:sz="8" w:color="0000FF"/>
            </w:tcBorders>
            <w:gridSpan w:val="6"/>
          </w:tcPr>
          <w:p>
            <w:pPr>
              <w:spacing w:after="0" w:line="182" w:lineRule="exact"/>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Program, filed as Exhibit 10.14 to the Abbott Laboratories Current Report on Form 8-K dated April 28, 2017.**</w:t>
              </w:r>
            </w:hyperlink>
          </w:p>
        </w:tc>
        <w:tc>
          <w:tcPr>
            <w:tcW w:w="162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4"/>
        </w:trPr>
        <w:tc>
          <w:tcPr>
            <w:tcW w:w="11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10.28</w:t>
            </w:r>
          </w:p>
        </w:tc>
        <w:tc>
          <w:tcPr>
            <w:tcW w:w="10340" w:type="dxa"/>
            <w:vAlign w:val="bottom"/>
            <w:gridSpan w:val="25"/>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9">
              <w:r>
                <w:rPr>
                  <w:rFonts w:ascii="Times New Roman" w:cs="Times New Roman" w:eastAsia="Times New Roman" w:hAnsi="Times New Roman"/>
                  <w:sz w:val="18"/>
                  <w:szCs w:val="18"/>
                  <w:color w:val="0000FF"/>
                </w:rPr>
                <w:t>Form of Restricted Stock Unit Agreement for foreign executive officers (cliff vested) under the Abbott Laboratories 2017 Incentive</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80" w:type="dxa"/>
            <w:vAlign w:val="bottom"/>
            <w:tcBorders>
              <w:top w:val="single" w:sz="8" w:color="0000FF"/>
            </w:tcBorders>
            <w:gridSpan w:val="15"/>
          </w:tcPr>
          <w:p>
            <w:pPr>
              <w:spacing w:after="0" w:line="182"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Stock Program, filed as Exhibit 10.15 to the Abbott Laboratories Current Report on Form 8-K dated April 28, 2017.**</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10.29</w:t>
            </w:r>
          </w:p>
        </w:tc>
        <w:tc>
          <w:tcPr>
            <w:tcW w:w="10340" w:type="dxa"/>
            <w:vAlign w:val="bottom"/>
            <w:gridSpan w:val="25"/>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0">
              <w:r>
                <w:rPr>
                  <w:rFonts w:ascii="Times New Roman" w:cs="Times New Roman" w:eastAsia="Times New Roman" w:hAnsi="Times New Roman"/>
                  <w:sz w:val="18"/>
                  <w:szCs w:val="18"/>
                  <w:color w:val="0000FF"/>
                </w:rPr>
                <w:t>Form of Restricted Stock Agreement for executive officers (ratably vested) under the Abbott Laboratories 2017 Incentive Stock</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80" w:type="dxa"/>
            <w:vAlign w:val="bottom"/>
            <w:tcBorders>
              <w:top w:val="single" w:sz="8" w:color="0000FF"/>
              <w:bottom w:val="single" w:sz="8" w:color="0000FF"/>
            </w:tcBorders>
            <w:gridSpan w:val="6"/>
          </w:tcPr>
          <w:p>
            <w:pPr>
              <w:spacing w:after="0" w:line="182"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Program, filed as Exhibit 10.18 to the Abbott Laboratories Current Report on Form 8-K dated April 28, 2017.**</w:t>
              </w:r>
            </w:hyperlink>
          </w:p>
        </w:tc>
        <w:tc>
          <w:tcPr>
            <w:tcW w:w="164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11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10.30</w:t>
            </w:r>
          </w:p>
        </w:tc>
        <w:tc>
          <w:tcPr>
            <w:tcW w:w="10340" w:type="dxa"/>
            <w:vAlign w:val="bottom"/>
            <w:gridSpan w:val="25"/>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1">
              <w:r>
                <w:rPr>
                  <w:rFonts w:ascii="Times New Roman" w:cs="Times New Roman" w:eastAsia="Times New Roman" w:hAnsi="Times New Roman"/>
                  <w:sz w:val="18"/>
                  <w:szCs w:val="18"/>
                  <w:color w:val="0000FF"/>
                </w:rPr>
                <w:t>Form of Restricted Stock Agreement for executive officers (cliff vested) under the Abbott Laboratories 2017 Incentive Stock Program,</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6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filed as Exhibit 10.19 to the Abbott Laboratories Current Report on Form 8-K dated April 28, 2017.**</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10.31</w:t>
            </w:r>
          </w:p>
        </w:tc>
        <w:tc>
          <w:tcPr>
            <w:tcW w:w="10340" w:type="dxa"/>
            <w:vAlign w:val="bottom"/>
            <w:gridSpan w:val="25"/>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2">
              <w:r>
                <w:rPr>
                  <w:rFonts w:ascii="Times New Roman" w:cs="Times New Roman" w:eastAsia="Times New Roman" w:hAnsi="Times New Roman"/>
                  <w:sz w:val="18"/>
                  <w:szCs w:val="18"/>
                  <w:color w:val="0000FF"/>
                </w:rPr>
                <w:t>Form of Non-Qualified Stock Option Agreement for executive officers under the Abbott Laboratories 2017 Incentive Stock Program,</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40" w:type="dxa"/>
            <w:vAlign w:val="bottom"/>
            <w:tcBorders>
              <w:top w:val="single" w:sz="8" w:color="0000FF"/>
            </w:tcBorders>
            <w:gridSpan w:val="13"/>
          </w:tcPr>
          <w:p>
            <w:pPr>
              <w:spacing w:after="0" w:line="182"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filed as Exhibit 10.22 to the Abbott Laboratories Current Report on Form 8-K dated April 28, 2017.**</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10.32</w:t>
            </w:r>
          </w:p>
        </w:tc>
        <w:tc>
          <w:tcPr>
            <w:tcW w:w="10340" w:type="dxa"/>
            <w:vAlign w:val="bottom"/>
            <w:gridSpan w:val="25"/>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3">
              <w:r>
                <w:rPr>
                  <w:rFonts w:ascii="Times New Roman" w:cs="Times New Roman" w:eastAsia="Times New Roman" w:hAnsi="Times New Roman"/>
                  <w:sz w:val="18"/>
                  <w:szCs w:val="18"/>
                  <w:color w:val="0000FF"/>
                </w:rPr>
                <w:t>Form of Non-Qualified Stock Option Agreement for foreign executive officers under the Abbott Laboratories 2017 Incentive Stock</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80" w:type="dxa"/>
            <w:vAlign w:val="bottom"/>
            <w:tcBorders>
              <w:top w:val="single" w:sz="8" w:color="0000FF"/>
              <w:bottom w:val="single" w:sz="8" w:color="0000FF"/>
            </w:tcBorders>
            <w:gridSpan w:val="6"/>
          </w:tcPr>
          <w:p>
            <w:pPr>
              <w:spacing w:after="0" w:line="182"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Program, filed as Exhibit 10.23 to the Abbott Laboratories Current Report on Form 8-K dated April 28, 2017.**</w:t>
              </w:r>
            </w:hyperlink>
          </w:p>
        </w:tc>
        <w:tc>
          <w:tcPr>
            <w:tcW w:w="1740" w:type="dxa"/>
            <w:vAlign w:val="bottom"/>
            <w:tcBorders>
              <w:top w:val="single" w:sz="8" w:color="0000FF"/>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4"/>
        </w:trPr>
        <w:tc>
          <w:tcPr>
            <w:tcW w:w="11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10.33</w:t>
            </w:r>
          </w:p>
        </w:tc>
        <w:tc>
          <w:tcPr>
            <w:tcW w:w="10340" w:type="dxa"/>
            <w:vAlign w:val="bottom"/>
            <w:gridSpan w:val="25"/>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4">
              <w:r>
                <w:rPr>
                  <w:rFonts w:ascii="Times New Roman" w:cs="Times New Roman" w:eastAsia="Times New Roman" w:hAnsi="Times New Roman"/>
                  <w:sz w:val="18"/>
                  <w:szCs w:val="18"/>
                  <w:color w:val="0000FF"/>
                </w:rPr>
                <w:t>Form of Non-Employee Director Restricted Stock Unit Agreement under the Abbott Laboratories 2017 Incentive Stock Program, filed</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0" w:type="dxa"/>
            <w:vAlign w:val="bottom"/>
            <w:tcBorders>
              <w:top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as Exhibit 10.24 to the Abbott Laboratories Current Report on Form 8-K dated April 28, 2017.**</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10.34</w:t>
            </w:r>
          </w:p>
        </w:tc>
        <w:tc>
          <w:tcPr>
            <w:tcW w:w="10340" w:type="dxa"/>
            <w:vAlign w:val="bottom"/>
            <w:gridSpan w:val="25"/>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5">
              <w:r>
                <w:rPr>
                  <w:rFonts w:ascii="Times New Roman" w:cs="Times New Roman" w:eastAsia="Times New Roman" w:hAnsi="Times New Roman"/>
                  <w:sz w:val="18"/>
                  <w:szCs w:val="18"/>
                  <w:color w:val="0000FF"/>
                </w:rPr>
                <w:t>Form of Non-Employee Director Restricted Stock Unit Agreement for foreign non-employee directors under the Abbott Laboratories</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40" w:type="dxa"/>
            <w:vAlign w:val="bottom"/>
            <w:tcBorders>
              <w:top w:val="single" w:sz="8" w:color="0000FF"/>
            </w:tcBorders>
            <w:gridSpan w:val="18"/>
          </w:tcPr>
          <w:p>
            <w:pPr>
              <w:spacing w:after="0" w:line="182"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2017 Incentive Stock Program, filed as Exhibit 10.25 to the Abbott Laboratories Current Report on Form 8-K dated April 28, 2017.**</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180" w:type="dxa"/>
            <w:vAlign w:val="bottom"/>
            <w:gridSpan w:val="3"/>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10.35</w:t>
            </w:r>
          </w:p>
        </w:tc>
        <w:tc>
          <w:tcPr>
            <w:tcW w:w="10340" w:type="dxa"/>
            <w:vAlign w:val="bottom"/>
            <w:gridSpan w:val="25"/>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6">
              <w:r>
                <w:rPr>
                  <w:rFonts w:ascii="Times New Roman" w:cs="Times New Roman" w:eastAsia="Times New Roman" w:hAnsi="Times New Roman"/>
                  <w:sz w:val="18"/>
                  <w:szCs w:val="18"/>
                  <w:color w:val="0000FF"/>
                </w:rPr>
                <w:t>Form of Non-Employee Director Non-Qualified Stock Option Agreement under the Abbott Laboratories 2017 Incentive Stock</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80" w:type="dxa"/>
            <w:vAlign w:val="bottom"/>
            <w:tcBorders>
              <w:top w:val="single" w:sz="8" w:color="0000FF"/>
              <w:bottom w:val="single" w:sz="8" w:color="0000FF"/>
            </w:tcBorders>
            <w:gridSpan w:val="6"/>
          </w:tcPr>
          <w:p>
            <w:pPr>
              <w:spacing w:after="0" w:line="182"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Program, filed as Exhibit 10.26 to the Abbott Laboratories Current Report on Form 8-K dated April 28, 2017.**</w:t>
              </w:r>
            </w:hyperlink>
          </w:p>
        </w:tc>
        <w:tc>
          <w:tcPr>
            <w:tcW w:w="1600" w:type="dxa"/>
            <w:vAlign w:val="bottom"/>
            <w:tcBorders>
              <w:top w:val="single" w:sz="8" w:color="0000FF"/>
            </w:tcBorders>
            <w:gridSpan w:val="4"/>
          </w:tcPr>
          <w:p>
            <w:pPr>
              <w:spacing w:after="0"/>
              <w:rPr>
                <w:sz w:val="15"/>
                <w:szCs w:val="15"/>
                <w:color w:val="auto"/>
              </w:rPr>
            </w:pPr>
          </w:p>
        </w:tc>
        <w:tc>
          <w:tcPr>
            <w:tcW w:w="20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11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10.36</w:t>
            </w:r>
          </w:p>
        </w:tc>
        <w:tc>
          <w:tcPr>
            <w:tcW w:w="10340" w:type="dxa"/>
            <w:vAlign w:val="bottom"/>
            <w:gridSpan w:val="25"/>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7">
              <w:r>
                <w:rPr>
                  <w:rFonts w:ascii="Times New Roman" w:cs="Times New Roman" w:eastAsia="Times New Roman" w:hAnsi="Times New Roman"/>
                  <w:sz w:val="18"/>
                  <w:szCs w:val="18"/>
                  <w:color w:val="0000FF"/>
                </w:rPr>
                <w:t>Form of Non-Employee Director Non-Qualified Stock Option Agreement for foreign non-employee directors under the Abbott</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20" w:type="dxa"/>
            <w:vAlign w:val="bottom"/>
            <w:tcBorders>
              <w:top w:val="single" w:sz="8" w:color="0000FF"/>
              <w:bottom w:val="single" w:sz="8" w:color="0000FF"/>
            </w:tcBorders>
            <w:gridSpan w:val="22"/>
          </w:tcPr>
          <w:p>
            <w:pPr>
              <w:spacing w:after="0" w:line="182"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Laboratories 2017 Incentive Stock Program, filed as Exhibit 10.27 to the Abbott Laboratories Current Report on Form 8-K dated April</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Borders>
              <w:bottom w:val="single" w:sz="8" w:color="0000FF"/>
            </w:tcBorders>
          </w:tcPr>
          <w:p>
            <w:pPr>
              <w:spacing w:after="0" w:line="182" w:lineRule="exact"/>
              <w:rPr>
                <w:rFonts w:ascii="Times New Roman" w:cs="Times New Roman" w:eastAsia="Times New Roman" w:hAnsi="Times New Roman"/>
                <w:sz w:val="18"/>
                <w:szCs w:val="18"/>
                <w:color w:val="0000FF"/>
                <w:w w:val="95"/>
              </w:rPr>
            </w:pPr>
            <w:hyperlink r:id="rId187">
              <w:r>
                <w:rPr>
                  <w:rFonts w:ascii="Times New Roman" w:cs="Times New Roman" w:eastAsia="Times New Roman" w:hAnsi="Times New Roman"/>
                  <w:sz w:val="18"/>
                  <w:szCs w:val="18"/>
                  <w:color w:val="0000FF"/>
                  <w:w w:val="95"/>
                </w:rPr>
                <w:t>28, 2017.**</w:t>
              </w:r>
            </w:hyperlink>
          </w:p>
        </w:tc>
        <w:tc>
          <w:tcPr>
            <w:tcW w:w="4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4"/>
        </w:trPr>
        <w:tc>
          <w:tcPr>
            <w:tcW w:w="11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10.37</w:t>
            </w:r>
          </w:p>
        </w:tc>
        <w:tc>
          <w:tcPr>
            <w:tcW w:w="10340" w:type="dxa"/>
            <w:vAlign w:val="bottom"/>
            <w:gridSpan w:val="25"/>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8">
              <w:r>
                <w:rPr>
                  <w:rFonts w:ascii="Times New Roman" w:cs="Times New Roman" w:eastAsia="Times New Roman" w:hAnsi="Times New Roman"/>
                  <w:sz w:val="18"/>
                  <w:szCs w:val="18"/>
                  <w:color w:val="0000FF"/>
                </w:rPr>
                <w:t>Form of Performance Restricted Stock Unit Agreement for foreign employees (annual performance based) under the Abbott</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00" w:type="dxa"/>
            <w:vAlign w:val="bottom"/>
            <w:tcBorders>
              <w:top w:val="single" w:sz="8" w:color="0000FF"/>
            </w:tcBorders>
            <w:gridSpan w:val="21"/>
          </w:tcPr>
          <w:p>
            <w:pPr>
              <w:spacing w:after="0" w:line="182"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Laboratories 2017 Incentive Stock Program, filed as Exhibit 10.56 to the 2020 Abbott Laboratories Annual Report on Form 10-K.**</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20" w:type="dxa"/>
            <w:vAlign w:val="bottom"/>
            <w:gridSpan w:val="4"/>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34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10.38</w:t>
            </w:r>
          </w:p>
        </w:tc>
        <w:tc>
          <w:tcPr>
            <w:tcW w:w="10340" w:type="dxa"/>
            <w:vAlign w:val="bottom"/>
            <w:gridSpan w:val="25"/>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9">
              <w:r>
                <w:rPr>
                  <w:rFonts w:ascii="Times New Roman" w:cs="Times New Roman" w:eastAsia="Times New Roman" w:hAnsi="Times New Roman"/>
                  <w:sz w:val="18"/>
                  <w:szCs w:val="18"/>
                  <w:color w:val="0000FF"/>
                </w:rPr>
                <w:t>Form of Performance Restricted Stock Unit Agreement for foreign employees (interim performance based) under the Abbott</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80" w:type="dxa"/>
            <w:vAlign w:val="bottom"/>
            <w:tcBorders>
              <w:top w:val="single" w:sz="8" w:color="0000FF"/>
            </w:tcBorders>
            <w:gridSpan w:val="20"/>
          </w:tcPr>
          <w:p>
            <w:pPr>
              <w:spacing w:after="0" w:line="182"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Laboratories 2017 Incentive Stock Program, filed as Exhibit 10.57 to the 2020 Abbott Laboratories Annual Report on Form 10-K.**</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20" w:type="dxa"/>
            <w:vAlign w:val="bottom"/>
            <w:gridSpan w:val="4"/>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40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10.39</w:t>
            </w:r>
          </w:p>
        </w:tc>
        <w:tc>
          <w:tcPr>
            <w:tcW w:w="10340" w:type="dxa"/>
            <w:vAlign w:val="bottom"/>
            <w:gridSpan w:val="25"/>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0">
              <w:r>
                <w:rPr>
                  <w:rFonts w:ascii="Times New Roman" w:cs="Times New Roman" w:eastAsia="Times New Roman" w:hAnsi="Times New Roman"/>
                  <w:sz w:val="18"/>
                  <w:szCs w:val="18"/>
                  <w:color w:val="0000FF"/>
                </w:rPr>
                <w:t>Form of Performance Restricted Stock Agreement (annual performance based) under the Abbott Laboratories 2017 Incentive Stock</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20" w:type="dxa"/>
            <w:vAlign w:val="bottom"/>
            <w:tcBorders>
              <w:top w:val="single" w:sz="8" w:color="0000FF"/>
              <w:bottom w:val="single" w:sz="8" w:color="0000FF"/>
            </w:tcBorders>
            <w:gridSpan w:val="4"/>
          </w:tcPr>
          <w:p>
            <w:pPr>
              <w:spacing w:after="0" w:line="182" w:lineRule="exact"/>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Program, filed as Exhibit 10.58 to the 2020 Abbott Laboratories Annual Report on Form 10-K.**</w:t>
              </w:r>
            </w:hyperlink>
          </w:p>
        </w:tc>
        <w:tc>
          <w:tcPr>
            <w:tcW w:w="292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060"/>
        <w:spacing w:after="0"/>
        <w:rPr>
          <w:sz w:val="20"/>
          <w:szCs w:val="20"/>
          <w:color w:val="auto"/>
        </w:rPr>
      </w:pPr>
      <w:r>
        <w:rPr>
          <w:rFonts w:ascii="Times New Roman" w:cs="Times New Roman" w:eastAsia="Times New Roman" w:hAnsi="Times New Roman"/>
          <w:sz w:val="14"/>
          <w:szCs w:val="14"/>
          <w:b w:val="1"/>
          <w:bCs w:val="1"/>
          <w:color w:val="auto"/>
        </w:rPr>
        <w:t>10-K</w:t>
      </w:r>
    </w:p>
    <w:p>
      <w:pPr>
        <w:spacing w:after="0" w:line="19" w:lineRule="exact"/>
        <w:rPr>
          <w:sz w:val="20"/>
          <w:szCs w:val="20"/>
          <w:color w:val="auto"/>
        </w:rPr>
      </w:pPr>
    </w:p>
    <w:p>
      <w:pPr>
        <w:jc w:val="center"/>
        <w:ind w:right="100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 w:lineRule="exact"/>
        <w:rPr>
          <w:sz w:val="20"/>
          <w:szCs w:val="20"/>
          <w:color w:val="auto"/>
        </w:rPr>
      </w:pPr>
    </w:p>
    <w:p>
      <w:pPr>
        <w:jc w:val="center"/>
        <w:ind w:right="10060"/>
        <w:spacing w:after="0"/>
        <w:rPr>
          <w:sz w:val="20"/>
          <w:szCs w:val="20"/>
          <w:color w:val="auto"/>
        </w:rPr>
      </w:pPr>
      <w:r>
        <w:rPr>
          <w:rFonts w:ascii="Times New Roman" w:cs="Times New Roman" w:eastAsia="Times New Roman" w:hAnsi="Times New Roman"/>
          <w:sz w:val="14"/>
          <w:szCs w:val="14"/>
          <w:b w:val="1"/>
          <w:bCs w:val="1"/>
          <w:color w:val="auto"/>
        </w:rPr>
        <w:t>Table</w:t>
      </w:r>
    </w:p>
    <w:p>
      <w:pPr>
        <w:spacing w:after="0" w:line="1" w:lineRule="exact"/>
        <w:rPr>
          <w:sz w:val="20"/>
          <w:szCs w:val="20"/>
          <w:color w:val="auto"/>
        </w:rPr>
      </w:pPr>
    </w:p>
    <w:p>
      <w:pPr>
        <w:jc w:val="center"/>
        <w:ind w:right="10060"/>
        <w:spacing w:after="0"/>
        <w:rPr>
          <w:sz w:val="20"/>
          <w:szCs w:val="20"/>
          <w:color w:val="auto"/>
        </w:rPr>
      </w:pPr>
      <w:r>
        <w:rPr>
          <w:rFonts w:ascii="Times New Roman" w:cs="Times New Roman" w:eastAsia="Times New Roman" w:hAnsi="Times New Roman"/>
          <w:sz w:val="14"/>
          <w:szCs w:val="14"/>
          <w:b w:val="1"/>
          <w:bCs w:val="1"/>
          <w:color w:val="auto"/>
        </w:rPr>
        <w:t>Item No.</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40" w:type="dxa"/>
            <w:vAlign w:val="bottom"/>
            <w:tcBorders>
              <w:top w:val="single" w:sz="8" w:color="auto"/>
            </w:tcBorders>
          </w:tcPr>
          <w:p>
            <w:pPr>
              <w:jc w:val="right"/>
              <w:ind w:right="610"/>
              <w:spacing w:after="0" w:line="189" w:lineRule="exact"/>
              <w:rPr>
                <w:sz w:val="20"/>
                <w:szCs w:val="20"/>
                <w:color w:val="auto"/>
              </w:rPr>
            </w:pPr>
            <w:r>
              <w:rPr>
                <w:rFonts w:ascii="Times New Roman" w:cs="Times New Roman" w:eastAsia="Times New Roman" w:hAnsi="Times New Roman"/>
                <w:sz w:val="18"/>
                <w:szCs w:val="18"/>
                <w:color w:val="auto"/>
              </w:rPr>
              <w:t>10.40</w:t>
            </w:r>
          </w:p>
        </w:tc>
        <w:tc>
          <w:tcPr>
            <w:tcW w:w="3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900" w:type="dxa"/>
            <w:vAlign w:val="bottom"/>
            <w:tcBorders>
              <w:bottom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Form of Performance Restricted Stock Agreement (interim performance based) under the Abbott Laboratories 2017 Incentive Stock</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20" w:type="dxa"/>
            <w:vAlign w:val="bottom"/>
            <w:tcBorders>
              <w:bottom w:val="single" w:sz="8" w:color="0000FF"/>
            </w:tcBorders>
            <w:gridSpan w:val="5"/>
          </w:tcPr>
          <w:p>
            <w:pPr>
              <w:spacing w:after="0" w:line="182" w:lineRule="exact"/>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Program, filed as Exhibit 10.59 to the 2020 Abbott Laboratories Annual Report on Form 10-K.**</w:t>
              </w:r>
            </w:hyperlink>
          </w:p>
        </w:tc>
        <w:tc>
          <w:tcPr>
            <w:tcW w:w="2880" w:type="dxa"/>
            <w:vAlign w:val="bottom"/>
            <w:gridSpan w:val="1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11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10.41</w:t>
            </w:r>
          </w:p>
        </w:tc>
        <w:tc>
          <w:tcPr>
            <w:tcW w:w="10320" w:type="dxa"/>
            <w:vAlign w:val="bottom"/>
            <w:gridSpan w:val="23"/>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3">
              <w:r>
                <w:rPr>
                  <w:rFonts w:ascii="Times New Roman" w:cs="Times New Roman" w:eastAsia="Times New Roman" w:hAnsi="Times New Roman"/>
                  <w:sz w:val="18"/>
                  <w:szCs w:val="18"/>
                  <w:color w:val="0000FF"/>
                </w:rPr>
                <w:t>Form of Performance Restricted Stock Unit Agreement for foreign executive officers (annual performance based) under the Abbott</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60" w:type="dxa"/>
            <w:vAlign w:val="bottom"/>
            <w:tcBorders>
              <w:top w:val="single" w:sz="8" w:color="0000FF"/>
            </w:tcBorders>
            <w:gridSpan w:val="18"/>
          </w:tcPr>
          <w:p>
            <w:pPr>
              <w:spacing w:after="0" w:line="182"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Laboratories 2017 Incentive Stock Program, filed as Exhibit 10.60 to the 2020 Abbott Laboratories Annual Report on Form 10-K.**</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78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10.42</w:t>
            </w:r>
          </w:p>
        </w:tc>
        <w:tc>
          <w:tcPr>
            <w:tcW w:w="10320" w:type="dxa"/>
            <w:vAlign w:val="bottom"/>
            <w:gridSpan w:val="23"/>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4">
              <w:r>
                <w:rPr>
                  <w:rFonts w:ascii="Times New Roman" w:cs="Times New Roman" w:eastAsia="Times New Roman" w:hAnsi="Times New Roman"/>
                  <w:sz w:val="18"/>
                  <w:szCs w:val="18"/>
                  <w:color w:val="0000FF"/>
                </w:rPr>
                <w:t>Form of Performance Restricted Stock Unit Agreement for foreign executive officers (interim performance based) under the Abbott</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40" w:type="dxa"/>
            <w:vAlign w:val="bottom"/>
            <w:tcBorders>
              <w:top w:val="single" w:sz="8" w:color="0000FF"/>
            </w:tcBorders>
            <w:gridSpan w:val="17"/>
          </w:tcPr>
          <w:p>
            <w:pPr>
              <w:spacing w:after="0" w:line="182"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Laboratories 2017 Incentive Stock Program, filed as Exhibit 10.61 to the 2020 Abbott Laboratories Annual Report on Form 10-K.**</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78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10.43</w:t>
            </w:r>
          </w:p>
        </w:tc>
        <w:tc>
          <w:tcPr>
            <w:tcW w:w="10320" w:type="dxa"/>
            <w:vAlign w:val="bottom"/>
            <w:gridSpan w:val="23"/>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5">
              <w:r>
                <w:rPr>
                  <w:rFonts w:ascii="Times New Roman" w:cs="Times New Roman" w:eastAsia="Times New Roman" w:hAnsi="Times New Roman"/>
                  <w:sz w:val="18"/>
                  <w:szCs w:val="18"/>
                  <w:color w:val="0000FF"/>
                </w:rPr>
                <w:t>Form of Performance Restricted Stock Agreement for executive officers (annual performance based) under the Abbott Laboratories</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20" w:type="dxa"/>
            <w:vAlign w:val="bottom"/>
            <w:tcBorders>
              <w:top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2017 Incentive Stock Program, filed as Exhibit 10.62 to the 2020 Abbott Laboratories Annual Report on Form 10-K.**</w:t>
              </w:r>
            </w:hyperlink>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78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10.44</w:t>
            </w:r>
          </w:p>
        </w:tc>
        <w:tc>
          <w:tcPr>
            <w:tcW w:w="10320" w:type="dxa"/>
            <w:vAlign w:val="bottom"/>
            <w:gridSpan w:val="23"/>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6">
              <w:r>
                <w:rPr>
                  <w:rFonts w:ascii="Times New Roman" w:cs="Times New Roman" w:eastAsia="Times New Roman" w:hAnsi="Times New Roman"/>
                  <w:sz w:val="18"/>
                  <w:szCs w:val="18"/>
                  <w:color w:val="0000FF"/>
                </w:rPr>
                <w:t>Form of Performance Restricted Stock Agreement for executive officers (interim performance based) under the Abbott Laboratories</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0" w:type="dxa"/>
            <w:vAlign w:val="bottom"/>
            <w:tcBorders>
              <w:top w:val="single" w:sz="8" w:color="0000FF"/>
            </w:tcBorders>
            <w:gridSpan w:val="15"/>
          </w:tcPr>
          <w:p>
            <w:pPr>
              <w:spacing w:after="0" w:line="182"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2017 Incentive Stock Program, filed as Exhibit 10.63 to the 2020 Abbott Laboratories Annual Report on Form 10-K.**</w:t>
              </w:r>
            </w:hyperlink>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78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10.45</w:t>
            </w:r>
          </w:p>
        </w:tc>
        <w:tc>
          <w:tcPr>
            <w:tcW w:w="10320" w:type="dxa"/>
            <w:vAlign w:val="bottom"/>
            <w:gridSpan w:val="23"/>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7">
              <w:r>
                <w:rPr>
                  <w:rFonts w:ascii="Times New Roman" w:cs="Times New Roman" w:eastAsia="Times New Roman" w:hAnsi="Times New Roman"/>
                  <w:sz w:val="18"/>
                  <w:szCs w:val="18"/>
                  <w:color w:val="0000FF"/>
                </w:rPr>
                <w:t>Form of Agreement Regarding Change in Control by and between Abbott Laboratories and its named executive officers, filed as</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80" w:type="dxa"/>
            <w:vAlign w:val="bottom"/>
            <w:tcBorders>
              <w:top w:val="single" w:sz="8" w:color="0000FF"/>
            </w:tcBorders>
            <w:gridSpan w:val="14"/>
          </w:tcPr>
          <w:p>
            <w:pPr>
              <w:spacing w:after="0" w:line="182"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Exhibit 10.1 to the Abbott Laboratories Current Report on Form 8-K dated November 30, 2012.**</w:t>
              </w:r>
            </w:hyperlink>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780" w:type="dxa"/>
            <w:vAlign w:val="bottom"/>
            <w:gridSpan w:val="2"/>
            <w:shd w:val="clear" w:color="auto" w:fill="0000FF"/>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10.46</w:t>
            </w:r>
          </w:p>
        </w:tc>
        <w:tc>
          <w:tcPr>
            <w:tcW w:w="10320" w:type="dxa"/>
            <w:vAlign w:val="bottom"/>
            <w:gridSpan w:val="23"/>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8">
              <w:r>
                <w:rPr>
                  <w:rFonts w:ascii="Times New Roman" w:cs="Times New Roman" w:eastAsia="Times New Roman" w:hAnsi="Times New Roman"/>
                  <w:sz w:val="18"/>
                  <w:szCs w:val="18"/>
                  <w:color w:val="0000FF"/>
                </w:rPr>
                <w:t>Form of Extension of Agreement Regarding Change in Control by and between Abbott Laboratories and its named executive officers,</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00" w:type="dxa"/>
            <w:vAlign w:val="bottom"/>
            <w:tcBorders>
              <w:top w:val="single" w:sz="8" w:color="0000FF"/>
              <w:bottom w:val="single" w:sz="8" w:color="0000FF"/>
            </w:tcBorders>
            <w:gridSpan w:val="10"/>
          </w:tcPr>
          <w:p>
            <w:pPr>
              <w:spacing w:after="0" w:line="182"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extending the agreement term to December 31, 2026, filed as Exhibit 10.47 to the 2024 Abbott Laboratories Annual Report on Form</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20" w:type="dxa"/>
            <w:vAlign w:val="bottom"/>
            <w:tcBorders>
              <w:bottom w:val="single" w:sz="8" w:color="0000FF"/>
            </w:tcBorders>
            <w:gridSpan w:val="6"/>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20" w:type="dxa"/>
            <w:vAlign w:val="bottom"/>
            <w:gridSpan w:val="21"/>
          </w:tcPr>
          <w:p>
            <w:pPr>
              <w:spacing w:after="0" w:line="182"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10-K.**</w:t>
              </w:r>
            </w:hyperlink>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3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44"/>
        </w:trPr>
        <w:tc>
          <w:tcPr>
            <w:tcW w:w="11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10.47</w:t>
            </w:r>
          </w:p>
        </w:tc>
        <w:tc>
          <w:tcPr>
            <w:tcW w:w="10320" w:type="dxa"/>
            <w:vAlign w:val="bottom"/>
            <w:gridSpan w:val="23"/>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9">
              <w:r>
                <w:rPr>
                  <w:rFonts w:ascii="Times New Roman" w:cs="Times New Roman" w:eastAsia="Times New Roman" w:hAnsi="Times New Roman"/>
                  <w:sz w:val="18"/>
                  <w:szCs w:val="18"/>
                  <w:color w:val="0000FF"/>
                </w:rPr>
                <w:t>Form of Time Sharing Agreement between Abbott Laboratories Inc. and Robert B. Ford, filed as Exhibit 10.68 to the 2020 Abbott</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80" w:type="dxa"/>
            <w:vAlign w:val="bottom"/>
            <w:tcBorders>
              <w:top w:val="single" w:sz="8" w:color="0000FF"/>
            </w:tcBorders>
            <w:gridSpan w:val="9"/>
          </w:tcPr>
          <w:p>
            <w:pPr>
              <w:spacing w:after="0" w:line="182"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Laboratories Annual Report on Form 10-K.**</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4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45"/>
        </w:trPr>
        <w:tc>
          <w:tcPr>
            <w:tcW w:w="11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10.48</w:t>
            </w:r>
          </w:p>
        </w:tc>
        <w:tc>
          <w:tcPr>
            <w:tcW w:w="10320" w:type="dxa"/>
            <w:vAlign w:val="bottom"/>
            <w:gridSpan w:val="23"/>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00">
              <w:r>
                <w:rPr>
                  <w:rFonts w:ascii="Times New Roman" w:cs="Times New Roman" w:eastAsia="Times New Roman" w:hAnsi="Times New Roman"/>
                  <w:sz w:val="18"/>
                  <w:szCs w:val="18"/>
                  <w:color w:val="0000FF"/>
                </w:rPr>
                <w:t>Management Savings Plan, as amended and restated, filed as Exhibit 10.75 to the 2019 Abbott Laboratories Annual Report on Form</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20" w:type="dxa"/>
            <w:vAlign w:val="bottom"/>
            <w:tcBorders>
              <w:top w:val="single" w:sz="8" w:color="0000FF"/>
            </w:tcBorders>
            <w:gridSpan w:val="11"/>
          </w:tcPr>
          <w:p>
            <w:pPr>
              <w:spacing w:after="0" w:line="182"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10-K.**</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9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44"/>
        </w:trPr>
        <w:tc>
          <w:tcPr>
            <w:tcW w:w="11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10.49</w:t>
            </w:r>
          </w:p>
        </w:tc>
        <w:tc>
          <w:tcPr>
            <w:tcW w:w="10320" w:type="dxa"/>
            <w:vAlign w:val="bottom"/>
            <w:gridSpan w:val="23"/>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01">
              <w:r>
                <w:rPr>
                  <w:rFonts w:ascii="Times New Roman" w:cs="Times New Roman" w:eastAsia="Times New Roman" w:hAnsi="Times New Roman"/>
                  <w:sz w:val="18"/>
                  <w:szCs w:val="18"/>
                  <w:color w:val="0000FF"/>
                </w:rPr>
                <w:t>Abbott Overseas Managers Pension Plan, as amended and restated, filed as Exhibit 10.74 to the 2020 Abbott Laboratories Annual</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60" w:type="dxa"/>
            <w:vAlign w:val="bottom"/>
            <w:tcBorders>
              <w:top w:val="single" w:sz="8" w:color="0000FF"/>
            </w:tcBorders>
            <w:gridSpan w:val="13"/>
          </w:tcPr>
          <w:p>
            <w:pPr>
              <w:spacing w:after="0" w:line="182"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Report on Form 10-K.**</w:t>
              </w:r>
            </w:hyperlink>
          </w:p>
        </w:tc>
        <w:tc>
          <w:tcPr>
            <w:tcW w:w="120" w:type="dxa"/>
            <w:vAlign w:val="bottom"/>
            <w:gridSpan w:val="6"/>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960" w:type="dxa"/>
            <w:vAlign w:val="bottom"/>
            <w:gridSpan w:val="9"/>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45"/>
        </w:trPr>
        <w:tc>
          <w:tcPr>
            <w:tcW w:w="11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10.50</w:t>
            </w:r>
          </w:p>
        </w:tc>
        <w:tc>
          <w:tcPr>
            <w:tcW w:w="10320" w:type="dxa"/>
            <w:vAlign w:val="bottom"/>
            <w:gridSpan w:val="23"/>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02">
              <w:r>
                <w:rPr>
                  <w:rFonts w:ascii="Times New Roman" w:cs="Times New Roman" w:eastAsia="Times New Roman" w:hAnsi="Times New Roman"/>
                  <w:sz w:val="18"/>
                  <w:szCs w:val="18"/>
                  <w:color w:val="0000FF"/>
                </w:rPr>
                <w:t>Five Year Credit Agreement, dated as of January 29, 2024, among Abbott Laboratories, as borrower, various financial institutions, as</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40" w:type="dxa"/>
            <w:vAlign w:val="bottom"/>
            <w:tcBorders>
              <w:top w:val="single" w:sz="8" w:color="0000FF"/>
              <w:bottom w:val="single" w:sz="8" w:color="0000FF"/>
            </w:tcBorders>
            <w:gridSpan w:val="12"/>
          </w:tcPr>
          <w:p>
            <w:pPr>
              <w:spacing w:after="0" w:line="182"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lenders, and JPMorgan Chase Bank, N.A., as administrative agent, filed as Exhibit 10.65 to the 2023 Abbott Laboratories Annual</w:t>
              </w:r>
            </w:hyperlink>
          </w:p>
        </w:tc>
        <w:tc>
          <w:tcPr>
            <w:tcW w:w="140" w:type="dxa"/>
            <w:vAlign w:val="bottom"/>
            <w:tcBorders>
              <w:bottom w:val="single" w:sz="8" w:color="0000FF"/>
            </w:tcBorders>
            <w:gridSpan w:val="7"/>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80" w:type="dxa"/>
            <w:vAlign w:val="bottom"/>
            <w:gridSpan w:val="19"/>
          </w:tcPr>
          <w:p>
            <w:pPr>
              <w:spacing w:after="0" w:line="182"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Report on Form 10-K.</w:t>
              </w:r>
            </w:hyperlink>
          </w:p>
        </w:tc>
        <w:tc>
          <w:tcPr>
            <w:tcW w:w="60" w:type="dxa"/>
            <w:vAlign w:val="bottom"/>
            <w:gridSpan w:val="3"/>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7" w:lineRule="exact"/>
        <w:rPr>
          <w:sz w:val="20"/>
          <w:szCs w:val="20"/>
          <w:color w:val="auto"/>
        </w:rPr>
      </w:pPr>
    </w:p>
    <w:p>
      <w:pPr>
        <w:ind w:left="1160" w:hanging="1134"/>
        <w:spacing w:after="0"/>
        <w:tabs>
          <w:tab w:leader="none" w:pos="1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03">
        <w:r>
          <w:rPr>
            <w:rFonts w:ascii="Times New Roman" w:cs="Times New Roman" w:eastAsia="Times New Roman" w:hAnsi="Times New Roman"/>
            <w:sz w:val="18"/>
            <w:szCs w:val="18"/>
            <w:u w:val="single" w:color="auto"/>
            <w:color w:val="0000FF"/>
          </w:rPr>
          <w:t>Abbott Laboratories Insider Trading Policy, filed as Exhibit 19 to the 2024 Abbott Laboratories Annual Report on Form 10-K.</w:t>
        </w:r>
      </w:hyperlink>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97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Subsidiaries of Abbott Laboratories.</w:t>
            </w:r>
          </w:p>
        </w:tc>
      </w:tr>
      <w:tr>
        <w:trPr>
          <w:trHeight w:val="20"/>
        </w:trPr>
        <w:tc>
          <w:tcPr>
            <w:tcW w:w="15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97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r>
              <w:rPr>
                <w:rFonts w:ascii="Times New Roman" w:cs="Times New Roman" w:eastAsia="Times New Roman" w:hAnsi="Times New Roman"/>
                <w:sz w:val="18"/>
                <w:szCs w:val="18"/>
                <w:color w:val="000000"/>
              </w:rPr>
              <w:t>.</w:t>
            </w:r>
          </w:p>
        </w:tc>
      </w:tr>
      <w:tr>
        <w:trPr>
          <w:trHeight w:val="20"/>
        </w:trPr>
        <w:tc>
          <w:tcPr>
            <w:tcW w:w="15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Required by Rule 13a-14(a) (17 CFR 240.13a-14(a)).</w:t>
            </w:r>
          </w:p>
        </w:tc>
        <w:tc>
          <w:tcPr>
            <w:tcW w:w="2980" w:type="dxa"/>
            <w:vAlign w:val="bottom"/>
            <w:gridSpan w:val="3"/>
          </w:tcPr>
          <w:p>
            <w:pPr>
              <w:spacing w:after="0"/>
              <w:rPr>
                <w:sz w:val="24"/>
                <w:szCs w:val="24"/>
                <w:color w:val="auto"/>
              </w:rPr>
            </w:pPr>
          </w:p>
        </w:tc>
      </w:tr>
      <w:tr>
        <w:trPr>
          <w:trHeight w:val="345"/>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7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Required by Rule 13a-14(a) (17 CFR 240.13a-14(a)).</w:t>
            </w:r>
          </w:p>
        </w:tc>
      </w:tr>
      <w:tr>
        <w:trPr>
          <w:trHeight w:val="20"/>
        </w:trPr>
        <w:tc>
          <w:tcPr>
            <w:tcW w:w="15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320" w:type="dxa"/>
            <w:vAlign w:val="bottom"/>
            <w:gridSpan w:val="3"/>
            <w:shd w:val="clear" w:color="auto" w:fill="0000FF"/>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500" w:type="dxa"/>
            <w:vAlign w:val="bottom"/>
          </w:tcPr>
          <w:p>
            <w:pPr>
              <w:spacing w:after="0"/>
              <w:rPr>
                <w:sz w:val="24"/>
                <w:szCs w:val="24"/>
                <w:color w:val="auto"/>
              </w:rPr>
            </w:pPr>
          </w:p>
        </w:tc>
        <w:tc>
          <w:tcPr>
            <w:tcW w:w="9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Exhibits 32.1 and 32.2 are furnished herewith and should not be deemed to be “filed” under the Securities Exchange Act of 1934.</w:t>
            </w:r>
          </w:p>
        </w:tc>
      </w:tr>
      <w:tr>
        <w:trPr>
          <w:trHeight w:val="32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7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r>
      <w:tr>
        <w:trPr>
          <w:trHeight w:val="183"/>
        </w:trPr>
        <w:tc>
          <w:tcPr>
            <w:tcW w:w="1500" w:type="dxa"/>
            <w:vAlign w:val="bottom"/>
          </w:tcPr>
          <w:p>
            <w:pPr>
              <w:spacing w:after="0"/>
              <w:rPr>
                <w:sz w:val="15"/>
                <w:szCs w:val="15"/>
                <w:color w:val="auto"/>
              </w:rPr>
            </w:pPr>
          </w:p>
        </w:tc>
        <w:tc>
          <w:tcPr>
            <w:tcW w:w="9720" w:type="dxa"/>
            <w:vAlign w:val="bottom"/>
            <w:tcBorders>
              <w:top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Oxley Act of 2002.</w:t>
            </w:r>
          </w:p>
        </w:tc>
        <w:tc>
          <w:tcPr>
            <w:tcW w:w="20" w:type="dxa"/>
            <w:vAlign w:val="bottom"/>
          </w:tcPr>
          <w:p>
            <w:pPr>
              <w:spacing w:after="0"/>
              <w:rPr>
                <w:sz w:val="15"/>
                <w:szCs w:val="15"/>
                <w:color w:val="auto"/>
              </w:rPr>
            </w:pPr>
          </w:p>
        </w:tc>
      </w:tr>
      <w:tr>
        <w:trPr>
          <w:trHeight w:val="20"/>
        </w:trPr>
        <w:tc>
          <w:tcPr>
            <w:tcW w:w="15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3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7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r>
      <w:tr>
        <w:trPr>
          <w:trHeight w:val="183"/>
        </w:trPr>
        <w:tc>
          <w:tcPr>
            <w:tcW w:w="1500" w:type="dxa"/>
            <w:vAlign w:val="bottom"/>
          </w:tcPr>
          <w:p>
            <w:pPr>
              <w:spacing w:after="0"/>
              <w:rPr>
                <w:sz w:val="15"/>
                <w:szCs w:val="15"/>
                <w:color w:val="auto"/>
              </w:rPr>
            </w:pPr>
          </w:p>
        </w:tc>
        <w:tc>
          <w:tcPr>
            <w:tcW w:w="9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7"/>
              </w:rPr>
              <w:t>Act of 2002.</w:t>
            </w:r>
          </w:p>
        </w:tc>
        <w:tc>
          <w:tcPr>
            <w:tcW w:w="8800" w:type="dxa"/>
            <w:vAlign w:val="bottom"/>
            <w:tcBorders>
              <w:top w:val="single" w:sz="8" w:color="0000FF"/>
            </w:tcBorders>
            <w:gridSpan w:val="6"/>
          </w:tcPr>
          <w:p>
            <w:pPr>
              <w:spacing w:after="0"/>
              <w:rPr>
                <w:sz w:val="15"/>
                <w:szCs w:val="15"/>
                <w:color w:val="auto"/>
              </w:rPr>
            </w:pPr>
          </w:p>
        </w:tc>
        <w:tc>
          <w:tcPr>
            <w:tcW w:w="40" w:type="dxa"/>
            <w:vAlign w:val="bottom"/>
            <w:gridSpan w:val="2"/>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100"/>
        <w:spacing w:after="0"/>
        <w:rPr>
          <w:sz w:val="20"/>
          <w:szCs w:val="20"/>
          <w:color w:val="auto"/>
        </w:rPr>
      </w:pPr>
      <w:r>
        <w:rPr>
          <w:rFonts w:ascii="Times New Roman" w:cs="Times New Roman" w:eastAsia="Times New Roman" w:hAnsi="Times New Roman"/>
          <w:sz w:val="14"/>
          <w:szCs w:val="14"/>
          <w:b w:val="1"/>
          <w:bCs w:val="1"/>
          <w:color w:val="auto"/>
        </w:rPr>
        <w:t>10-K</w:t>
      </w:r>
    </w:p>
    <w:p>
      <w:pPr>
        <w:spacing w:after="0" w:line="19" w:lineRule="exact"/>
        <w:rPr>
          <w:sz w:val="20"/>
          <w:szCs w:val="20"/>
          <w:color w:val="auto"/>
        </w:rPr>
      </w:pPr>
    </w:p>
    <w:p>
      <w:pPr>
        <w:jc w:val="center"/>
        <w:ind w:right="101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 w:lineRule="exact"/>
        <w:rPr>
          <w:sz w:val="20"/>
          <w:szCs w:val="20"/>
          <w:color w:val="auto"/>
        </w:rPr>
      </w:pPr>
    </w:p>
    <w:p>
      <w:pPr>
        <w:jc w:val="center"/>
        <w:ind w:right="10100"/>
        <w:spacing w:after="0"/>
        <w:rPr>
          <w:sz w:val="20"/>
          <w:szCs w:val="20"/>
          <w:color w:val="auto"/>
        </w:rPr>
      </w:pPr>
      <w:r>
        <w:rPr>
          <w:rFonts w:ascii="Times New Roman" w:cs="Times New Roman" w:eastAsia="Times New Roman" w:hAnsi="Times New Roman"/>
          <w:sz w:val="14"/>
          <w:szCs w:val="14"/>
          <w:b w:val="1"/>
          <w:bCs w:val="1"/>
          <w:color w:val="auto"/>
        </w:rPr>
        <w:t>Table</w:t>
      </w:r>
    </w:p>
    <w:p>
      <w:pPr>
        <w:spacing w:after="0" w:line="1" w:lineRule="exact"/>
        <w:rPr>
          <w:sz w:val="20"/>
          <w:szCs w:val="20"/>
          <w:color w:val="auto"/>
        </w:rPr>
      </w:pPr>
    </w:p>
    <w:p>
      <w:pPr>
        <w:jc w:val="center"/>
        <w:ind w:right="10100"/>
        <w:spacing w:after="0"/>
        <w:rPr>
          <w:sz w:val="20"/>
          <w:szCs w:val="20"/>
          <w:color w:val="auto"/>
        </w:rPr>
      </w:pPr>
      <w:r>
        <w:rPr>
          <w:rFonts w:ascii="Times New Roman" w:cs="Times New Roman" w:eastAsia="Times New Roman" w:hAnsi="Times New Roman"/>
          <w:sz w:val="14"/>
          <w:szCs w:val="14"/>
          <w:b w:val="1"/>
          <w:bCs w:val="1"/>
          <w:color w:val="auto"/>
        </w:rPr>
        <w:t>Item No.</w:t>
      </w:r>
    </w:p>
    <w:p>
      <w:pPr>
        <w:spacing w:after="0" w:line="43" w:lineRule="exact"/>
        <w:rPr>
          <w:sz w:val="20"/>
          <w:szCs w:val="20"/>
          <w:color w:val="auto"/>
        </w:rPr>
      </w:pPr>
    </w:p>
    <w:p>
      <w:pPr>
        <w:ind w:left="1160" w:hanging="1134"/>
        <w:spacing w:after="0"/>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05">
        <w:r>
          <w:rPr>
            <w:rFonts w:ascii="Times New Roman" w:cs="Times New Roman" w:eastAsia="Times New Roman" w:hAnsi="Times New Roman"/>
            <w:sz w:val="18"/>
            <w:szCs w:val="18"/>
            <w:u w:val="single" w:color="auto"/>
            <w:color w:val="0000FF"/>
          </w:rPr>
          <w:t>Abbott Laboratories Dodd-Frank Clawback Policy, filed as Exhibit 97 to the 2023 Abbott Laboratories Annual Report on Form 10-K.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00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06">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1" w:lineRule="exact"/>
        <w:rPr>
          <w:sz w:val="20"/>
          <w:szCs w:val="20"/>
          <w:color w:val="auto"/>
        </w:rPr>
      </w:pPr>
    </w:p>
    <w:p>
      <w:pPr>
        <w:jc w:val="both"/>
        <w:ind w:left="1520" w:right="20" w:hanging="1494"/>
        <w:spacing w:after="0" w:line="245" w:lineRule="auto"/>
        <w:tabs>
          <w:tab w:leader="none" w:pos="1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and notes from the Abbott Laboratories Annual Report on Form 10-K for the year ended December 31, 2025 filed on February 20, 2026, formatted in Inline XBRL: (i) Consolidated Statement of Earnings; (ii) Consolidated Statement of Comprehensive Income; (iii) Consolidated Statement of Cash Flows; (iv) Consolidated Balance Sheet; (v) Consolidated Statement of Shareholders’ Investment; and (vi) the notes to the consolidated financial statements.</w:t>
      </w:r>
    </w:p>
    <w:p>
      <w:pPr>
        <w:spacing w:after="0" w:line="127" w:lineRule="exact"/>
        <w:rPr>
          <w:sz w:val="20"/>
          <w:szCs w:val="20"/>
          <w:color w:val="auto"/>
        </w:rPr>
      </w:pPr>
    </w:p>
    <w:p>
      <w:pPr>
        <w:ind w:left="1520" w:right="20" w:hanging="1494"/>
        <w:spacing w:after="0" w:line="266" w:lineRule="auto"/>
        <w:tabs>
          <w:tab w:leader="none" w:pos="1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in the Inline XBRL document and included in Exhibit 101).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w:t>
      </w:r>
    </w:p>
    <w:p>
      <w:pPr>
        <w:spacing w:after="0" w:line="109"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Commission file number 1-2189.</w:t>
      </w:r>
    </w:p>
    <w:p>
      <w:pPr>
        <w:spacing w:after="0" w:line="117"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contract or compensatory plan or arrangement required to be filed as an exhibit hereto.</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Incorporated herein by reference. Commission file number 1-12441.</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Abbott will furnish copies of any of the above exhibits to a shareholder upon written request to the Secretary, Abbott Laboratories, 100 Abbott Park Road, Abbott Park, Illinois 60064-6400.</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Financial Statement Schedule filed (page 92).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Abbott Laboratories has duly caused this report to be signed on its behalf by the undersigned, thereunto duly authorized.</w:t>
      </w:r>
    </w:p>
    <w:p>
      <w:pPr>
        <w:spacing w:after="0" w:line="10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ABBOTT LABORATORIES</w:t>
      </w:r>
    </w:p>
    <w:p>
      <w:pPr>
        <w:spacing w:after="0" w:line="212" w:lineRule="exact"/>
        <w:rPr>
          <w:sz w:val="20"/>
          <w:szCs w:val="20"/>
          <w:color w:val="auto"/>
        </w:rPr>
      </w:pPr>
    </w:p>
    <w:tbl>
      <w:tblPr>
        <w:tblLayout w:type="fixed"/>
        <w:tblInd w:w="4920" w:type="dxa"/>
        <w:tblCellMar>
          <w:top w:w="0" w:type="dxa"/>
          <w:left w:w="0" w:type="dxa"/>
          <w:bottom w:w="0" w:type="dxa"/>
          <w:right w:w="0" w:type="dxa"/>
        </w:tblCellMar>
      </w:tblPr>
      <w:tr>
        <w:trPr>
          <w:trHeight w:val="24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B. FORD</w:t>
            </w:r>
          </w:p>
        </w:tc>
      </w:tr>
      <w:tr>
        <w:trPr>
          <w:trHeight w:val="243"/>
        </w:trPr>
        <w:tc>
          <w:tcPr>
            <w:tcW w:w="740" w:type="dxa"/>
            <w:vAlign w:val="bottom"/>
          </w:tcPr>
          <w:p>
            <w:pPr>
              <w:spacing w:after="0"/>
              <w:rPr>
                <w:sz w:val="21"/>
                <w:szCs w:val="21"/>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Robert B. Ford</w:t>
            </w:r>
          </w:p>
        </w:tc>
      </w:tr>
      <w:tr>
        <w:trPr>
          <w:trHeight w:val="270"/>
        </w:trPr>
        <w:tc>
          <w:tcPr>
            <w:tcW w:w="740" w:type="dxa"/>
            <w:vAlign w:val="bottom"/>
          </w:tcPr>
          <w:p>
            <w:pPr>
              <w:spacing w:after="0"/>
              <w:rPr>
                <w:sz w:val="23"/>
                <w:szCs w:val="23"/>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February 20, 2026</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Abbott Laboratories on February 20, 2026 in the capacities indicated below.</w:t>
      </w:r>
    </w:p>
    <w:p>
      <w:pPr>
        <w:sectPr>
          <w:pgSz w:w="11900" w:h="16838" w:orient="portrait"/>
          <w:cols w:equalWidth="0" w:num="1">
            <w:col w:w="11240"/>
          </w:cols>
          <w:pgMar w:left="320" w:top="121" w:right="339" w:bottom="1440" w:gutter="0" w:footer="0" w:header="0"/>
        </w:sectPr>
      </w:pP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B.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318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08">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B. Ford</w:t>
      </w:r>
    </w:p>
    <w:p>
      <w:pPr>
        <w:spacing w:after="0" w:line="50" w:lineRule="exact"/>
        <w:rPr>
          <w:sz w:val="20"/>
          <w:szCs w:val="20"/>
          <w:color w:val="auto"/>
        </w:rPr>
      </w:pPr>
    </w:p>
    <w:p>
      <w:pPr>
        <w:ind w:left="20" w:right="1160"/>
        <w:spacing w:after="0" w:line="250" w:lineRule="auto"/>
        <w:rPr>
          <w:sz w:val="20"/>
          <w:szCs w:val="20"/>
          <w:color w:val="auto"/>
        </w:rPr>
      </w:pPr>
      <w:r>
        <w:rPr>
          <w:rFonts w:ascii="Times New Roman" w:cs="Times New Roman" w:eastAsia="Times New Roman" w:hAnsi="Times New Roman"/>
          <w:sz w:val="18"/>
          <w:szCs w:val="18"/>
          <w:color w:val="auto"/>
        </w:rPr>
        <w:t>Chairman of the Board and Chief Executive Officer, and Director of Abbott Laboratories (principal executive officer)</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A. MCCOY,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318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9">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A. McCoy, Jr.</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Finance and Controller</w:t>
      </w:r>
    </w:p>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NITA AHUJA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318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1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Nita Ahuja, M.D.</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of Abbott Laboratories</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CLAIRE BABINEAUX-FONTENOT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318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1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Claire Babineaux-Fontenot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of Abbott Laboratories</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PAOLA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318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2">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Paola Gonzalez</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of Abbott Laboratories</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DARREN W. MCDEW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318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3">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Darren W. McDew</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of Abbott Laboratories</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G. O'GRADY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318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4">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G. O'Grady</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of Abbott Laboratories</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DANIEL J. STARKS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318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5">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Daniel J. Starks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of Abbott Laboratories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PHILIP P. BOUDREAU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wp:posOffset>
            </wp:positionV>
            <wp:extent cx="35401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6">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 P. Boudreau</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Finance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J. ALPERN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wp:posOffset>
            </wp:positionV>
            <wp:extent cx="35401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7">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J. Alpern, M.D.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Abbott Laboratories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SALLY E. BLOUNT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wp:posOffset>
            </wp:positionV>
            <wp:extent cx="35401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18">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Sally E. Blount, Ph.D.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Abbott Laboratories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MICHELLE A. KUMBIER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wp:posOffset>
            </wp:positionV>
            <wp:extent cx="35401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9">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Michelle A. Kumbier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Abbott Laboratories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NANCY MCKINSTRY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wp:posOffset>
            </wp:positionV>
            <wp:extent cx="35401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0">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Nancy McKinstry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Abbott Laboratories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F. ROMAN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wp:posOffset>
            </wp:positionV>
            <wp:extent cx="35401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1">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F. Roman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Abbott Laboratories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G.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wp:posOffset>
            </wp:positionV>
            <wp:extent cx="35401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2">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G. Stratton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Abbott Laboratories</w:t>
      </w:r>
    </w:p>
    <w:p>
      <w:pPr>
        <w:spacing w:after="0" w:line="200" w:lineRule="exact"/>
        <w:rPr>
          <w:sz w:val="20"/>
          <w:szCs w:val="20"/>
          <w:color w:val="auto"/>
        </w:rPr>
      </w:pPr>
    </w:p>
    <w:p>
      <w:pPr>
        <w:sectPr>
          <w:pgSz w:w="11900" w:h="16838" w:orient="portrait"/>
          <w:cols w:equalWidth="0" w:num="2">
            <w:col w:w="4960" w:space="720"/>
            <w:col w:w="5560"/>
          </w:cols>
          <w:pgMar w:left="320" w:top="121" w:right="3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rPr>
              <w:t>Provisions/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Charged Off</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Allowances for Doubtful</w:t>
            </w:r>
          </w:p>
        </w:tc>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at Beginning</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left="304"/>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Pr>
          <w:p>
            <w:pPr>
              <w:spacing w:after="0"/>
              <w:rPr>
                <w:sz w:val="14"/>
                <w:szCs w:val="14"/>
                <w:color w:val="auto"/>
              </w:rPr>
            </w:pPr>
          </w:p>
        </w:tc>
        <w:tc>
          <w:tcPr>
            <w:tcW w:w="124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204"/>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Accounts and Product Returns</w:t>
            </w:r>
          </w:p>
        </w:tc>
        <w:tc>
          <w:tcPr>
            <w:tcW w:w="11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ind w:left="304"/>
              <w:spacing w:after="0"/>
              <w:rPr>
                <w:sz w:val="20"/>
                <w:szCs w:val="20"/>
                <w:color w:val="auto"/>
              </w:rPr>
            </w:pPr>
            <w:r>
              <w:rPr>
                <w:rFonts w:ascii="Times New Roman" w:cs="Times New Roman" w:eastAsia="Times New Roman" w:hAnsi="Times New Roman"/>
                <w:sz w:val="14"/>
                <w:szCs w:val="14"/>
                <w:b w:val="1"/>
                <w:bCs w:val="1"/>
                <w:color w:val="auto"/>
              </w:rPr>
              <w:t>to Income</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40" w:type="dxa"/>
            <w:vAlign w:val="bottom"/>
          </w:tcPr>
          <w:p>
            <w:pPr>
              <w:spacing w:after="0"/>
              <w:rPr>
                <w:sz w:val="17"/>
                <w:szCs w:val="17"/>
                <w:color w:val="auto"/>
              </w:rPr>
            </w:pPr>
          </w:p>
        </w:tc>
        <w:tc>
          <w:tcPr>
            <w:tcW w:w="12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End of Year</w:t>
            </w: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439</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5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444</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6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500</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904"/>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91</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360" w:firstLine="3364"/>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Abbott Laboratories</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consolidated financial statements of Abbott Laboratories and subsidiaries (the Company) as of December 31, 2025 and 2024, for each of the three years in the period ended December 31, 2025, and have issued our report thereon dated February 20, 2026 (included elsewhere in this Annual Report on Form 10-K). Our audits of the consolidated financial statements included the financial statement schedule listed in Item 15(a)(2) of this Annual Report on Form 10-K (the “schedule”). This schedule is the responsibility of the Company's management. Our responsibility is to express an opinion on the Company’s schedule, based on our audits.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our opinion, the schedule presents fairly, in all material respects, the information set forth therein when considered in conjunction with the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21" w:right="339" w:bottom="1440" w:gutter="0" w:footer="0" w:header="0"/>
        </w:sectPr>
      </w:pPr>
    </w:p>
    <w:bookmarkStart w:id="94" w:name="page95"/>
    <w:bookmarkEnd w:id="94"/>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SUBSIDIARIES OF ABBOTT LABORATORIES</w:t>
      </w:r>
    </w:p>
    <w:p>
      <w:pPr>
        <w:spacing w:after="0" w:line="212" w:lineRule="exact"/>
        <w:rPr>
          <w:sz w:val="20"/>
          <w:szCs w:val="20"/>
          <w:color w:val="auto"/>
        </w:rPr>
      </w:pPr>
    </w:p>
    <w:p>
      <w:pPr>
        <w:ind w:left="60" w:right="340" w:hanging="36"/>
        <w:spacing w:after="0" w:line="268" w:lineRule="auto"/>
        <w:rPr>
          <w:sz w:val="20"/>
          <w:szCs w:val="20"/>
          <w:color w:val="auto"/>
        </w:rPr>
      </w:pPr>
      <w:r>
        <w:rPr>
          <w:rFonts w:ascii="Times New Roman" w:cs="Times New Roman" w:eastAsia="Times New Roman" w:hAnsi="Times New Roman"/>
          <w:sz w:val="18"/>
          <w:szCs w:val="18"/>
          <w:color w:val="auto"/>
        </w:rPr>
        <w:t>The following is a list of subsidiaries of Abbott Laboratories as of January 31, 2026. Abbott Laboratories is not a subsidiary of any other corporation. Where ownership of a subsidiary is less than 100% by Abbott Laboratories or an Abbott Laboratories' subsidiary, such has been noted by an asterisk</w:t>
      </w:r>
    </w:p>
    <w:p>
      <w:pPr>
        <w:spacing w:after="0" w:line="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7740" w:type="dxa"/>
            <w:vAlign w:val="bottom"/>
            <w:tcBorders>
              <w:left w:val="single" w:sz="8" w:color="4472C4"/>
              <w:right w:val="single" w:sz="8" w:color="4472C4"/>
            </w:tcBorders>
            <w:shd w:val="clear" w:color="auto" w:fill="000000"/>
          </w:tcPr>
          <w:p>
            <w:pPr>
              <w:ind w:left="140"/>
              <w:spacing w:after="0"/>
              <w:rPr>
                <w:sz w:val="20"/>
                <w:szCs w:val="20"/>
                <w:color w:val="auto"/>
              </w:rPr>
            </w:pPr>
            <w:r>
              <w:rPr>
                <w:rFonts w:ascii="Arial" w:cs="Arial" w:eastAsia="Arial" w:hAnsi="Arial"/>
                <w:sz w:val="18"/>
                <w:szCs w:val="18"/>
                <w:b w:val="1"/>
                <w:bCs w:val="1"/>
                <w:color w:val="FFFFFF"/>
              </w:rPr>
              <w:t>Domestic Subsidiaries</w:t>
            </w:r>
          </w:p>
        </w:tc>
        <w:tc>
          <w:tcPr>
            <w:tcW w:w="3100" w:type="dxa"/>
            <w:vAlign w:val="bottom"/>
            <w:tcBorders>
              <w:right w:val="single" w:sz="8" w:color="4472C4"/>
            </w:tcBorders>
            <w:shd w:val="clear" w:color="auto" w:fill="000000"/>
          </w:tcPr>
          <w:p>
            <w:pPr>
              <w:ind w:left="100"/>
              <w:spacing w:after="0"/>
              <w:rPr>
                <w:sz w:val="20"/>
                <w:szCs w:val="20"/>
                <w:color w:val="auto"/>
              </w:rPr>
            </w:pPr>
            <w:r>
              <w:rPr>
                <w:rFonts w:ascii="Arial" w:cs="Arial" w:eastAsia="Arial" w:hAnsi="Arial"/>
                <w:sz w:val="18"/>
                <w:szCs w:val="18"/>
                <w:b w:val="1"/>
                <w:bCs w:val="1"/>
                <w:color w:val="FFFFFF"/>
              </w:rPr>
              <w:t>Incorporation</w:t>
            </w:r>
          </w:p>
        </w:tc>
      </w:tr>
      <w:tr>
        <w:trPr>
          <w:trHeight w:val="164"/>
        </w:trPr>
        <w:tc>
          <w:tcPr>
            <w:tcW w:w="7740" w:type="dxa"/>
            <w:vAlign w:val="bottom"/>
            <w:tcBorders>
              <w:left w:val="single" w:sz="8" w:color="4472C4"/>
              <w:bottom w:val="single" w:sz="8" w:color="auto"/>
              <w:right w:val="single" w:sz="8" w:color="4472C4"/>
            </w:tcBorders>
            <w:shd w:val="clear" w:color="auto" w:fill="000000"/>
          </w:tcPr>
          <w:p>
            <w:pPr>
              <w:spacing w:after="0"/>
              <w:rPr>
                <w:sz w:val="14"/>
                <w:szCs w:val="14"/>
                <w:color w:val="auto"/>
              </w:rPr>
            </w:pPr>
          </w:p>
        </w:tc>
        <w:tc>
          <w:tcPr>
            <w:tcW w:w="3100" w:type="dxa"/>
            <w:vAlign w:val="bottom"/>
            <w:tcBorders>
              <w:bottom w:val="single" w:sz="8" w:color="auto"/>
              <w:right w:val="single" w:sz="8" w:color="4472C4"/>
            </w:tcBorders>
            <w:shd w:val="clear" w:color="auto" w:fill="000000"/>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Biologicals, LLC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Cardiovascular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Cardiovascular Systems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California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Delaware LLC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Diabetes Care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Diabetes Care Sales Corporation</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Diagnostics Scarborough,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Equity Investments LLC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Finance LLC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Global LLC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Global Enterprises LLC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Health Products, LLC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International LLC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Laboratories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Laboratories International LLC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Illinois</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Laboratories Pacific Ltd.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Illinois</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Laboratories Residential Development Fund,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Illinois</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Laboratories Services LLC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Illinois</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Management LLC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Medical Solutions Holdings LLC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Molecular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Nutrition Manufacturing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Point of Care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Procurement LLC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Products Operations, LLC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Rapid Diagnostics Informatics,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Virginia</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Rapid Diagnostics LLC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Rapid Dx North America, LLC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Resources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Resources International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18"/>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UK Management LLC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bl>
    <w:p>
      <w:pPr>
        <w:sectPr>
          <w:pgSz w:w="11900" w:h="16900" w:orient="portrait"/>
          <w:cols w:equalWidth="0" w:num="1">
            <w:col w:w="11140"/>
          </w:cols>
          <w:pgMar w:left="420" w:top="117" w:right="339" w:bottom="0" w:gutter="0" w:footer="0" w:header="0"/>
        </w:sectPr>
      </w:pPr>
    </w:p>
    <w:bookmarkStart w:id="95" w:name="page96"/>
    <w:bookmarkEnd w:id="9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7740" w:type="dxa"/>
            <w:vAlign w:val="bottom"/>
            <w:tcBorders>
              <w:left w:val="single" w:sz="8" w:color="CCEEFF"/>
              <w:bottom w:val="single" w:sz="8" w:color="auto"/>
              <w:right w:val="single" w:sz="8" w:color="CCEEFF"/>
            </w:tcBorders>
            <w:shd w:val="clear" w:color="auto" w:fill="CCEEFF"/>
          </w:tcPr>
          <w:p>
            <w:pPr>
              <w:spacing w:after="0"/>
              <w:rPr>
                <w:sz w:val="15"/>
                <w:szCs w:val="15"/>
                <w:color w:val="auto"/>
              </w:rPr>
            </w:pPr>
          </w:p>
        </w:tc>
        <w:tc>
          <w:tcPr>
            <w:tcW w:w="3100" w:type="dxa"/>
            <w:vAlign w:val="bottom"/>
            <w:tcBorders>
              <w:bottom w:val="single" w:sz="8" w:color="auto"/>
              <w:right w:val="single" w:sz="8" w:color="auto"/>
            </w:tcBorders>
            <w:shd w:val="clear" w:color="auto" w:fill="CCEEFF"/>
          </w:tcPr>
          <w:p>
            <w:pPr>
              <w:spacing w:after="0"/>
              <w:rPr>
                <w:sz w:val="15"/>
                <w:szCs w:val="15"/>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Universal LLC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Vascular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Vascular Solutions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Indiana</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Ventures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Advanced Neuromodulation Systems,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Texas</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AGA Medical Corporation</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Minnesota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AGA Medical Holdings,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Alere Holdco,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Alere Home Monitoring,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10820"/>
          </w:cols>
          <w:pgMar w:left="420" w:top="140" w:right="659" w:bottom="1440" w:gutter="0" w:footer="0" w:header="0"/>
        </w:sectPr>
      </w:pPr>
    </w:p>
    <w:bookmarkStart w:id="96" w:name="page97"/>
    <w:bookmarkEnd w:id="96"/>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7740" w:type="dxa"/>
            <w:vAlign w:val="bottom"/>
            <w:tcBorders>
              <w:top w:val="single" w:sz="8" w:color="auto"/>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Alere Inc.</w:t>
            </w:r>
          </w:p>
        </w:tc>
        <w:tc>
          <w:tcPr>
            <w:tcW w:w="3100" w:type="dxa"/>
            <w:vAlign w:val="bottom"/>
            <w:tcBorders>
              <w:top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Alere International Holding Corp.</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Alere Phoenix ACQ,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Alere San Diego,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Alere Toxicology Services,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Louisiana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Alere Toxicology,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Florida</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Alere US Holdings, LLC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Ameditech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California</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American Medical Supplies,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Florida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AML Medical, LLC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APK Advanced Medical Technologies LLC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Georgia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Arriva Medical, LLC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Florida</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Atkinson North Chicago LLC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Illinois</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ATS Laboratories,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Avee Laboratories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Florida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Badger Merger Sub I,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Bigfoot Biomedical,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Bioabsorbable Vascular Solutions,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Biosite Incorporated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California Property Holdings III LLC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California</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CardioMEMS LLC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Cardiovascular Systems,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Cephea Valve Technologies,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Chansu Vascular Technologies, LLC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Continuum Services LLC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CSI HQ LLC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eScreen,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Evalve International,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Evalve,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First Check Diagnostics, LLC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Fournier Pharma Corp.</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GA Property Holdings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Global Analytical Development LLC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Florida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Hi-Tronics Designs,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New Jersey</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Ibis Biosciences LLC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97"/>
        </w:trPr>
        <w:tc>
          <w:tcPr>
            <w:tcW w:w="7740" w:type="dxa"/>
            <w:vAlign w:val="bottom"/>
            <w:tcBorders>
              <w:left w:val="single" w:sz="8" w:color="auto"/>
              <w:right w:val="single" w:sz="8" w:color="auto"/>
            </w:tcBorders>
          </w:tcPr>
          <w:p>
            <w:pPr>
              <w:spacing w:after="0"/>
              <w:rPr>
                <w:sz w:val="8"/>
                <w:szCs w:val="8"/>
                <w:color w:val="auto"/>
              </w:rPr>
            </w:pPr>
          </w:p>
        </w:tc>
        <w:tc>
          <w:tcPr>
            <w:tcW w:w="3100" w:type="dxa"/>
            <w:vAlign w:val="bottom"/>
            <w:tcBorders>
              <w:right w:val="single" w:sz="8" w:color="auto"/>
            </w:tcBorders>
          </w:tcPr>
          <w:p>
            <w:pPr>
              <w:spacing w:after="0"/>
              <w:rPr>
                <w:sz w:val="8"/>
                <w:szCs w:val="8"/>
                <w:color w:val="auto"/>
              </w:rPr>
            </w:pPr>
          </w:p>
        </w:tc>
      </w:tr>
    </w:tbl>
    <w:p>
      <w:pPr>
        <w:sectPr>
          <w:pgSz w:w="11900" w:h="16900" w:orient="portrait"/>
          <w:cols w:equalWidth="0" w:num="1">
            <w:col w:w="10820"/>
          </w:cols>
          <w:pgMar w:left="420" w:top="1440" w:right="659" w:bottom="0" w:gutter="0" w:footer="0" w:header="0"/>
        </w:sectPr>
      </w:pPr>
    </w:p>
    <w:bookmarkStart w:id="97" w:name="page98"/>
    <w:bookmarkEnd w:id="9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7740" w:type="dxa"/>
            <w:vAlign w:val="bottom"/>
            <w:tcBorders>
              <w:left w:val="single" w:sz="8" w:color="auto"/>
              <w:bottom w:val="single" w:sz="8" w:color="auto"/>
              <w:right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Innovacon,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Instant Tech Subsidiary Acquisition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Instant Technologies,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Virginia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Integrated Vascular Systems,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Inverness Medical Innovations SK, LLC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Inverness Medical Investments, LLC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Inverness Medical, LLC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Ionian Technologies, LLC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Irvine Biomedical,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California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Lake Forest Investments LLC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Lightlab Imaging,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bl>
    <w:p>
      <w:pPr>
        <w:sectPr>
          <w:pgSz w:w="11900" w:h="16838" w:orient="portrait"/>
          <w:cols w:equalWidth="0" w:num="1">
            <w:col w:w="10820"/>
          </w:cols>
          <w:pgMar w:left="420" w:top="140" w:right="659" w:bottom="1440" w:gutter="0" w:footer="0" w:header="0"/>
        </w:sectPr>
      </w:pPr>
    </w:p>
    <w:bookmarkStart w:id="98" w:name="page99"/>
    <w:bookmarkEnd w:id="98"/>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774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Lingo US Inc.</w:t>
            </w:r>
          </w:p>
        </w:tc>
        <w:tc>
          <w:tcPr>
            <w:tcW w:w="31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MediGuide, LLC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Midwest Properties LLC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Natural Supplement Association, LLC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Colorado</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NeuroTherm LLC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Newyu,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North Shore Properties,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Pacesetter,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PBM-Selfcare, LLC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PDD II, LLC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PDD, LLC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Pembrooke Occupational Health,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Virginia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Quality Assured Services,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Florida</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Redwood Toxicology Laboratory,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California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RF Medical Holdings LLC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RTL Holdings,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Sealing Solutions,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Georgia</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Selfcare Technology,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SJM International,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SJM Thunder Holding Company</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SPDH,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Spinal Modulation LLC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St. Jude Medical ATG,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Minnesota</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St. Jude Medical Business Services,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St. Jude Medical Europe,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St. Jude Medical International Holding S.a.r.l., US Branch</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United States</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St. Jude Medical S.C.,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Minnesota</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St. Jude Medical, Atrial Fibrillation Division,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Minnesota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St. Jude Medical, Cardiology Division,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St. Jude Medical, LLC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Standing Stone, LLC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Swan-Myers, Incorporated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Indiana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TC1 LLC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Tendyne Holdings,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Tendyne Medical,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97"/>
        </w:trPr>
        <w:tc>
          <w:tcPr>
            <w:tcW w:w="7740" w:type="dxa"/>
            <w:vAlign w:val="bottom"/>
            <w:tcBorders>
              <w:left w:val="single" w:sz="8" w:color="auto"/>
              <w:right w:val="single" w:sz="8" w:color="auto"/>
            </w:tcBorders>
            <w:shd w:val="clear" w:color="auto" w:fill="CCEEFF"/>
          </w:tcPr>
          <w:p>
            <w:pPr>
              <w:spacing w:after="0"/>
              <w:rPr>
                <w:sz w:val="8"/>
                <w:szCs w:val="8"/>
                <w:color w:val="auto"/>
              </w:rPr>
            </w:pPr>
          </w:p>
        </w:tc>
        <w:tc>
          <w:tcPr>
            <w:tcW w:w="3100" w:type="dxa"/>
            <w:vAlign w:val="bottom"/>
            <w:tcBorders>
              <w:right w:val="single" w:sz="8" w:color="auto"/>
            </w:tcBorders>
            <w:shd w:val="clear" w:color="auto" w:fill="CCEEFF"/>
          </w:tcPr>
          <w:p>
            <w:pPr>
              <w:spacing w:after="0"/>
              <w:rPr>
                <w:sz w:val="8"/>
                <w:szCs w:val="8"/>
                <w:color w:val="auto"/>
              </w:rPr>
            </w:pPr>
          </w:p>
        </w:tc>
      </w:tr>
    </w:tbl>
    <w:p>
      <w:pPr>
        <w:sectPr>
          <w:pgSz w:w="11900" w:h="16900" w:orient="portrait"/>
          <w:cols w:equalWidth="0" w:num="1">
            <w:col w:w="10820"/>
          </w:cols>
          <w:pgMar w:left="420" w:top="1440" w:right="659" w:bottom="0" w:gutter="0" w:footer="0" w:header="0"/>
        </w:sectPr>
      </w:pPr>
    </w:p>
    <w:bookmarkStart w:id="99" w:name="page100"/>
    <w:bookmarkEnd w:id="9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7740" w:type="dxa"/>
            <w:vAlign w:val="bottom"/>
            <w:tcBorders>
              <w:left w:val="single" w:sz="8" w:color="CCEEFF"/>
              <w:bottom w:val="single" w:sz="8" w:color="auto"/>
              <w:right w:val="single" w:sz="8" w:color="CCEEFF"/>
            </w:tcBorders>
            <w:shd w:val="clear" w:color="auto" w:fill="CCEEFF"/>
          </w:tcPr>
          <w:p>
            <w:pPr>
              <w:spacing w:after="0"/>
              <w:rPr>
                <w:sz w:val="24"/>
                <w:szCs w:val="24"/>
                <w:color w:val="auto"/>
              </w:rPr>
            </w:pPr>
          </w:p>
        </w:tc>
        <w:tc>
          <w:tcPr>
            <w:tcW w:w="3100" w:type="dxa"/>
            <w:vAlign w:val="bottom"/>
            <w:tcBorders>
              <w:bottom w:val="single" w:sz="8" w:color="auto"/>
              <w:right w:val="single" w:sz="8" w:color="auto"/>
            </w:tcBorders>
            <w:shd w:val="clear" w:color="auto" w:fill="CCEEFF"/>
          </w:tcPr>
          <w:p>
            <w:pPr>
              <w:spacing w:after="0"/>
              <w:rPr>
                <w:sz w:val="24"/>
                <w:szCs w:val="2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Thoratec LLC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California</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Tobal Products Incorporated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Illinois</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Topera LLC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US CD LLC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Walk Vascular, LLC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X Technologies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7740" w:type="dxa"/>
            <w:vAlign w:val="bottom"/>
            <w:tcBorders>
              <w:left w:val="single" w:sz="8" w:color="auto"/>
              <w:bottom w:val="single" w:sz="8" w:color="4472C4"/>
              <w:right w:val="single" w:sz="8" w:color="auto"/>
            </w:tcBorders>
            <w:shd w:val="clear" w:color="auto" w:fill="CCEEFF"/>
          </w:tcPr>
          <w:p>
            <w:pPr>
              <w:spacing w:after="0"/>
              <w:rPr>
                <w:sz w:val="14"/>
                <w:szCs w:val="14"/>
                <w:color w:val="auto"/>
              </w:rPr>
            </w:pPr>
          </w:p>
        </w:tc>
        <w:tc>
          <w:tcPr>
            <w:tcW w:w="3100" w:type="dxa"/>
            <w:vAlign w:val="bottom"/>
            <w:tcBorders>
              <w:bottom w:val="single" w:sz="8" w:color="4472C4"/>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4472C4"/>
              <w:right w:val="single" w:sz="8" w:color="4472C4"/>
            </w:tcBorders>
          </w:tcPr>
          <w:p>
            <w:pPr>
              <w:ind w:left="140"/>
              <w:spacing w:after="0"/>
              <w:rPr>
                <w:sz w:val="20"/>
                <w:szCs w:val="20"/>
                <w:color w:val="auto"/>
              </w:rPr>
            </w:pPr>
            <w:r>
              <w:rPr>
                <w:rFonts w:ascii="Arial" w:cs="Arial" w:eastAsia="Arial" w:hAnsi="Arial"/>
                <w:sz w:val="18"/>
                <w:szCs w:val="18"/>
                <w:color w:val="auto"/>
              </w:rPr>
              <w:t>ZonePerfect Nutrition Company</w:t>
            </w:r>
          </w:p>
        </w:tc>
        <w:tc>
          <w:tcPr>
            <w:tcW w:w="3100" w:type="dxa"/>
            <w:vAlign w:val="bottom"/>
            <w:tcBorders>
              <w:right w:val="single" w:sz="8" w:color="4472C4"/>
            </w:tcBorders>
          </w:tcPr>
          <w:p>
            <w:pPr>
              <w:ind w:left="100"/>
              <w:spacing w:after="0"/>
              <w:rPr>
                <w:sz w:val="20"/>
                <w:szCs w:val="20"/>
                <w:color w:val="auto"/>
              </w:rPr>
            </w:pPr>
            <w:r>
              <w:rPr>
                <w:rFonts w:ascii="Arial" w:cs="Arial" w:eastAsia="Arial" w:hAnsi="Arial"/>
                <w:sz w:val="18"/>
                <w:szCs w:val="18"/>
                <w:color w:val="auto"/>
              </w:rPr>
              <w:t>Delaware</w:t>
            </w:r>
          </w:p>
        </w:tc>
      </w:tr>
      <w:tr>
        <w:trPr>
          <w:trHeight w:val="171"/>
        </w:trPr>
        <w:tc>
          <w:tcPr>
            <w:tcW w:w="7740" w:type="dxa"/>
            <w:vAlign w:val="bottom"/>
            <w:tcBorders>
              <w:left w:val="single" w:sz="8" w:color="4472C4"/>
              <w:bottom w:val="single" w:sz="8" w:color="8EA9DB"/>
              <w:right w:val="single" w:sz="8" w:color="4472C4"/>
            </w:tcBorders>
          </w:tcPr>
          <w:p>
            <w:pPr>
              <w:spacing w:after="0"/>
              <w:rPr>
                <w:sz w:val="14"/>
                <w:szCs w:val="14"/>
                <w:color w:val="auto"/>
              </w:rPr>
            </w:pPr>
          </w:p>
        </w:tc>
        <w:tc>
          <w:tcPr>
            <w:tcW w:w="3100" w:type="dxa"/>
            <w:vAlign w:val="bottom"/>
            <w:tcBorders>
              <w:bottom w:val="single" w:sz="8" w:color="8EA9DB"/>
              <w:right w:val="single" w:sz="8" w:color="4472C4"/>
            </w:tcBorders>
          </w:tcPr>
          <w:p>
            <w:pPr>
              <w:spacing w:after="0"/>
              <w:rPr>
                <w:sz w:val="14"/>
                <w:szCs w:val="14"/>
                <w:color w:val="auto"/>
              </w:rPr>
            </w:pPr>
          </w:p>
        </w:tc>
      </w:tr>
      <w:tr>
        <w:trPr>
          <w:trHeight w:val="248"/>
        </w:trPr>
        <w:tc>
          <w:tcPr>
            <w:tcW w:w="7740" w:type="dxa"/>
            <w:vAlign w:val="bottom"/>
            <w:tcBorders>
              <w:left w:val="single" w:sz="8" w:color="8EA9DB"/>
              <w:right w:val="single" w:sz="8" w:color="auto"/>
            </w:tcBorders>
            <w:shd w:val="clear" w:color="auto" w:fill="000000"/>
          </w:tcPr>
          <w:p>
            <w:pPr>
              <w:ind w:left="140"/>
              <w:spacing w:after="0"/>
              <w:rPr>
                <w:sz w:val="20"/>
                <w:szCs w:val="20"/>
                <w:color w:val="auto"/>
              </w:rPr>
            </w:pPr>
            <w:r>
              <w:rPr>
                <w:rFonts w:ascii="Arial" w:cs="Arial" w:eastAsia="Arial" w:hAnsi="Arial"/>
                <w:sz w:val="18"/>
                <w:szCs w:val="18"/>
                <w:b w:val="1"/>
                <w:bCs w:val="1"/>
                <w:color w:val="FFFFFF"/>
              </w:rPr>
              <w:t>Foreign Subsidiary</w:t>
            </w:r>
          </w:p>
        </w:tc>
        <w:tc>
          <w:tcPr>
            <w:tcW w:w="3100" w:type="dxa"/>
            <w:vAlign w:val="bottom"/>
            <w:tcBorders>
              <w:right w:val="single" w:sz="8" w:color="8EA9DB"/>
            </w:tcBorders>
            <w:shd w:val="clear" w:color="auto" w:fill="000000"/>
          </w:tcPr>
          <w:p>
            <w:pPr>
              <w:ind w:left="100"/>
              <w:spacing w:after="0"/>
              <w:rPr>
                <w:sz w:val="20"/>
                <w:szCs w:val="20"/>
                <w:color w:val="auto"/>
              </w:rPr>
            </w:pPr>
            <w:r>
              <w:rPr>
                <w:rFonts w:ascii="Arial" w:cs="Arial" w:eastAsia="Arial" w:hAnsi="Arial"/>
                <w:sz w:val="18"/>
                <w:szCs w:val="18"/>
                <w:b w:val="1"/>
                <w:bCs w:val="1"/>
                <w:color w:val="FFFFFF"/>
              </w:rPr>
              <w:t>Incorporation</w:t>
            </w:r>
          </w:p>
        </w:tc>
      </w:tr>
      <w:tr>
        <w:trPr>
          <w:trHeight w:val="163"/>
        </w:trPr>
        <w:tc>
          <w:tcPr>
            <w:tcW w:w="7740" w:type="dxa"/>
            <w:vAlign w:val="bottom"/>
            <w:tcBorders>
              <w:left w:val="single" w:sz="8" w:color="8EA9DB"/>
              <w:bottom w:val="single" w:sz="8" w:color="auto"/>
              <w:right w:val="single" w:sz="8" w:color="auto"/>
            </w:tcBorders>
            <w:shd w:val="clear" w:color="auto" w:fill="000000"/>
          </w:tcPr>
          <w:p>
            <w:pPr>
              <w:spacing w:after="0"/>
              <w:rPr>
                <w:sz w:val="14"/>
                <w:szCs w:val="14"/>
                <w:color w:val="auto"/>
              </w:rPr>
            </w:pPr>
          </w:p>
        </w:tc>
        <w:tc>
          <w:tcPr>
            <w:tcW w:w="3100" w:type="dxa"/>
            <w:vAlign w:val="bottom"/>
            <w:tcBorders>
              <w:bottom w:val="single" w:sz="8" w:color="auto"/>
              <w:right w:val="single" w:sz="8" w:color="8EA9DB"/>
            </w:tcBorders>
            <w:shd w:val="clear" w:color="auto" w:fill="000000"/>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Products Algerie EURL</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Algeria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Laboratories Argentina Sociedad Anónima</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Argentina</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Rapid Diagnostics Argentina S.A.</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Argentina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bl>
    <w:p>
      <w:pPr>
        <w:sectPr>
          <w:pgSz w:w="11900" w:h="16838" w:orient="portrait"/>
          <w:cols w:equalWidth="0" w:num="1">
            <w:col w:w="10820"/>
          </w:cols>
          <w:pgMar w:left="420" w:top="140" w:right="659" w:bottom="1440" w:gutter="0" w:footer="0" w:header="0"/>
        </w:sectPr>
      </w:pPr>
    </w:p>
    <w:bookmarkStart w:id="100" w:name="page101"/>
    <w:bookmarkEnd w:id="100"/>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774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Atlas Farmacéutica S.A.</w:t>
            </w:r>
          </w:p>
        </w:tc>
        <w:tc>
          <w:tcPr>
            <w:tcW w:w="31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Argentina</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Murex Argentina S.A.</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Argentina *</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St. Jude Medical Argentina S.A.</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Argentina</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Australasia Pty Ltd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Australia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Medical Australia Pty. Ltd.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Australia</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Rapid Diagnostics Pty Ltd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Australia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Alere Holdings Pty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Australia</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Gesellschaft m.b.H.</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Austria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Medical Austria Ges.m.b.H.</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Austria</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Rapid Diagnostics Austria GmbH</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Austria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Normann Pharma-Handels GmbH</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Austria</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W&amp;R Pharma Handels GmbH</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Austria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Laboratories (Bangladesh)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Bangladesh</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Alere Bangladesh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Bangladesh *</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Murex Diagnostics International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Barbados</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Belgium</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Medical Belgium</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Belgium</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Rapid Diagnostics</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Belgium</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Vascular International</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Belgium</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St. Jude Medical Coordination Center</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Belgium</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Australia Enterprises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Bermuda</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Diagnostics International, Ltd.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Bermuda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Holding 1 (Bermuda)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Bermuda</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Holding 2 (Bermuda)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Bermuda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Holdings Enterprises, Ltd.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Bermuda</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International Enterprises, Ltd.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Bermuda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Ireland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Bermuda</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Medical Holding (Bermuda)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Bermuda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Medical Subsidiary (Bermuda)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Bermuda</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Strategic Opportunities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Bermuda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Pharmatech Boliviana, S.A.</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Bolivia (Plurinational State of)</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Diagnosticos Rapidos S.A.</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Brazil *</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Laboratórios do Brasil Ltda.</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Brazil</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Farmacologia Em Aquicultura Veterinária Ltda.</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Brazil</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St. Jude Medical Brasil Ltda.</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Brazil</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97"/>
        </w:trPr>
        <w:tc>
          <w:tcPr>
            <w:tcW w:w="7740" w:type="dxa"/>
            <w:vAlign w:val="bottom"/>
            <w:tcBorders>
              <w:left w:val="single" w:sz="8" w:color="auto"/>
              <w:right w:val="single" w:sz="8" w:color="auto"/>
            </w:tcBorders>
            <w:shd w:val="clear" w:color="auto" w:fill="CCEEFF"/>
          </w:tcPr>
          <w:p>
            <w:pPr>
              <w:spacing w:after="0"/>
              <w:rPr>
                <w:sz w:val="8"/>
                <w:szCs w:val="8"/>
                <w:color w:val="auto"/>
              </w:rPr>
            </w:pPr>
          </w:p>
        </w:tc>
        <w:tc>
          <w:tcPr>
            <w:tcW w:w="3100" w:type="dxa"/>
            <w:vAlign w:val="bottom"/>
            <w:tcBorders>
              <w:right w:val="single" w:sz="8" w:color="auto"/>
            </w:tcBorders>
            <w:shd w:val="clear" w:color="auto" w:fill="CCEEFF"/>
          </w:tcPr>
          <w:p>
            <w:pPr>
              <w:spacing w:after="0"/>
              <w:rPr>
                <w:sz w:val="8"/>
                <w:szCs w:val="8"/>
                <w:color w:val="auto"/>
              </w:rPr>
            </w:pPr>
          </w:p>
        </w:tc>
      </w:tr>
    </w:tbl>
    <w:p>
      <w:pPr>
        <w:sectPr>
          <w:pgSz w:w="11900" w:h="16900" w:orient="portrait"/>
          <w:cols w:equalWidth="0" w:num="1">
            <w:col w:w="10820"/>
          </w:cols>
          <w:pgMar w:left="420" w:top="1440" w:right="659" w:bottom="0" w:gutter="0" w:footer="0" w:header="0"/>
        </w:sectPr>
      </w:pPr>
    </w:p>
    <w:bookmarkStart w:id="101" w:name="page102"/>
    <w:bookmarkEnd w:id="10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7740" w:type="dxa"/>
            <w:vAlign w:val="bottom"/>
            <w:tcBorders>
              <w:left w:val="single" w:sz="8" w:color="CCEEFF"/>
              <w:bottom w:val="single" w:sz="8" w:color="auto"/>
              <w:right w:val="single" w:sz="8" w:color="CCEEFF"/>
            </w:tcBorders>
            <w:shd w:val="clear" w:color="auto" w:fill="CCEEFF"/>
          </w:tcPr>
          <w:p>
            <w:pPr>
              <w:spacing w:after="0"/>
              <w:rPr>
                <w:sz w:val="24"/>
                <w:szCs w:val="24"/>
                <w:color w:val="auto"/>
              </w:rPr>
            </w:pPr>
          </w:p>
        </w:tc>
        <w:tc>
          <w:tcPr>
            <w:tcW w:w="3100" w:type="dxa"/>
            <w:vAlign w:val="bottom"/>
            <w:tcBorders>
              <w:bottom w:val="single" w:sz="8" w:color="auto"/>
              <w:right w:val="single" w:sz="8" w:color="auto"/>
            </w:tcBorders>
            <w:shd w:val="clear" w:color="auto" w:fill="CCEEFF"/>
          </w:tcPr>
          <w:p>
            <w:pPr>
              <w:spacing w:after="0"/>
              <w:rPr>
                <w:sz w:val="24"/>
                <w:szCs w:val="2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Rich Horizons International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British Virgin Islands</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International Corporation</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Canada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Laboratories Co./Laboratoires Abbott Cie</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Canada</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Medical Canada Co./ Medicale Abbott Canada Cie</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Canada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Point of Care Canada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Canada</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Rapid Diagnostics ULC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Canada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eScreen Canada ULC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Canada</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Inverness Canadian Acquisition Corporation</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Canada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Global Enterprises Holdings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Cayman Islands</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Laboratories Holdings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Cayman Islands</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Subsidiary CR Holding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Cayman Islands</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10820"/>
          </w:cols>
          <w:pgMar w:left="420" w:top="140" w:right="659" w:bottom="1440" w:gutter="0" w:footer="0" w:header="0"/>
        </w:sectPr>
      </w:pPr>
    </w:p>
    <w:bookmarkStart w:id="102" w:name="page103"/>
    <w:bookmarkEnd w:id="102"/>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7740" w:type="dxa"/>
            <w:vAlign w:val="bottom"/>
            <w:tcBorders>
              <w:top w:val="single" w:sz="8" w:color="auto"/>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Healthcare Solutions Cayman Limited</w:t>
            </w:r>
          </w:p>
        </w:tc>
        <w:tc>
          <w:tcPr>
            <w:tcW w:w="3100" w:type="dxa"/>
            <w:vAlign w:val="bottom"/>
            <w:tcBorders>
              <w:top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Cayman Islands</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Medical Solutions Cayman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Cayman Islands</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Laboratories (Chile) Holdco (Dos) SpA</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Chile</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Laboratories (Chile) Holdco SpA</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Chile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Laboratories de Chile Limitada</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Chile</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Aquagestion Capacitación S.A.</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Chile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Aquagestion S.A.</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Chile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CFR Chile S.A.</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Chile</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Consorcio Tecnológico en Biomedicina Clinico-Molecular S.A.</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Chile *</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Esprit de Vie S.A.</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Chile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Farmacología en Aquacultura Veterinaria FAV S.A.</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Chile</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Igloo Zone Chile S.A.</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Chile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Inversiones K2 SpA</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Chile</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Laboratorios Lafi Limitada</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Chile</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Laboratorios Recalcine S.A.</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Chile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Novasalud.com S.A.</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Chile</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Recben Xenerics Farmaceutica Limitada</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Chile</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Vida Cell Inversiones S.A.</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Chile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Vida Cell S.A.</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Chile *</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(Jiaxing) Nutrition Co., Ltd.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(Shanghai) Diagnostics Sales Co., Ltd.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China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Diagnostics (Shanghai) Co., Ltd.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 *</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Laboratories Trading (Shanghai) Co., Ltd.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China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Medical (Shanghai) Co., Ltd.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Medical Devices Trading (Shanghai) Co., Ltd.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China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Medical Diagnostics Products Co., Ltd.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ABON Biopharm (Hangzhou) Co., Ltd.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China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Alere (Shanghai) Healthcare Management Co., Ltd.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Alere (Shanghai) Technology Co., Ltd.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China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Inverness Medical (Beijing) Co., Ltd.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Shanghai Abbott Pharmaceutical Co., Ltd.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China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Shanghai Abbott Pharmaceutical Science and Technology Co., Ltd.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Laboratories de Colombia SAS</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Colombia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Rapid Diagnostics Colombia S.A.S.</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Colombia</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American Generics S.A.S.</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Colombia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97"/>
        </w:trPr>
        <w:tc>
          <w:tcPr>
            <w:tcW w:w="7740" w:type="dxa"/>
            <w:vAlign w:val="bottom"/>
            <w:tcBorders>
              <w:left w:val="single" w:sz="8" w:color="auto"/>
              <w:right w:val="single" w:sz="8" w:color="auto"/>
            </w:tcBorders>
          </w:tcPr>
          <w:p>
            <w:pPr>
              <w:spacing w:after="0"/>
              <w:rPr>
                <w:sz w:val="8"/>
                <w:szCs w:val="8"/>
                <w:color w:val="auto"/>
              </w:rPr>
            </w:pPr>
          </w:p>
        </w:tc>
        <w:tc>
          <w:tcPr>
            <w:tcW w:w="3100" w:type="dxa"/>
            <w:vAlign w:val="bottom"/>
            <w:tcBorders>
              <w:right w:val="single" w:sz="8" w:color="auto"/>
            </w:tcBorders>
          </w:tcPr>
          <w:p>
            <w:pPr>
              <w:spacing w:after="0"/>
              <w:rPr>
                <w:sz w:val="8"/>
                <w:szCs w:val="8"/>
                <w:color w:val="auto"/>
              </w:rPr>
            </w:pPr>
          </w:p>
        </w:tc>
      </w:tr>
    </w:tbl>
    <w:p>
      <w:pPr>
        <w:sectPr>
          <w:pgSz w:w="11900" w:h="16900" w:orient="portrait"/>
          <w:cols w:equalWidth="0" w:num="1">
            <w:col w:w="10820"/>
          </w:cols>
          <w:pgMar w:left="420" w:top="1440" w:right="659" w:bottom="0" w:gutter="0" w:footer="0" w:header="0"/>
        </w:sectPr>
      </w:pPr>
    </w:p>
    <w:bookmarkStart w:id="103" w:name="page104"/>
    <w:bookmarkEnd w:id="10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7740" w:type="dxa"/>
            <w:vAlign w:val="bottom"/>
            <w:tcBorders>
              <w:left w:val="single" w:sz="8" w:color="auto"/>
              <w:bottom w:val="single" w:sz="8" w:color="auto"/>
              <w:right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Laboratorio Synthesis S.A.S.</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Colombia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Laboratorios Pauly Pharmaceutical S.A.S.</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Colombia</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Lafrancol Internacional S.A.S.</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Colombia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St. Jude Medical Colombia, Ltda.</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Colombia</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3-102-920937, Sociedad de Responsabilidad Limitada</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Costa Rica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Healthcare Costa Rica, S.A.</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Costa Rica</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Medical Costa Rica, Limitada</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Costa Rica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Gynopharm Sociedad Anonima</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Costa Rica</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Laboratories drustvo s ogranicenom odgovornoscu (d.o.o.)</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Croatia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Overseas Cyprus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Cyprus</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Arvis Investments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Cyprus</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bl>
    <w:p>
      <w:pPr>
        <w:sectPr>
          <w:pgSz w:w="11900" w:h="16838" w:orient="portrait"/>
          <w:cols w:equalWidth="0" w:num="1">
            <w:col w:w="10820"/>
          </w:cols>
          <w:pgMar w:left="420" w:top="140" w:right="659" w:bottom="1440" w:gutter="0" w:footer="0" w:header="0"/>
        </w:sectPr>
      </w:pPr>
    </w:p>
    <w:bookmarkStart w:id="104" w:name="page105"/>
    <w:bookmarkEnd w:id="104"/>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774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Laboratories, s.r.o.</w:t>
            </w:r>
          </w:p>
        </w:tc>
        <w:tc>
          <w:tcPr>
            <w:tcW w:w="31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Czech Republic</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Rapid Diagnostics s.r.o.</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Czech Republic</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Laboratories A/S</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Denmark</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Medical Danmark A/S</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Denmark</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Rapid Diagnostics A/S</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Denmark</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Inversiones Komodo, S.R.L.</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Dominican Republic</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Laboratorios del Ecuador Cia. Ltda.</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Ecuador</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Western Pharmaceuticals S.A.</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Ecuador</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Healthcare LLC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Egypt</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Limited Egypt LLC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Egypt</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Products Egypt LLC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Egypt</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Sociedad Anonima de Capital Variable</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El Salvador</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CFR Interamericas EL Salvador, Sociedad Anónima de Capital Variable</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El Salvador</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Medical Estonia OÜ</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Estonia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Medical Finland Oy</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Finland</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Oy</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Finland</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Rapid Diagnostics Oy Ab</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Finland</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France</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France</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Medical France SAS</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France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Products Distribution SAS</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France</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Rapid Diagnostics S.A.S.</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France</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Laboratoires Fournier S.A.S.</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France</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Vivalsol</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France</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Automation Solutions GmbH</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Germany</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Diagnostics GmbH</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Germany</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GmbH</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Germany</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Holding GmbH</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Germany</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Laboratories Deutschland GmbH</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Germany</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Laboratories Deutschland Holdings GmbH</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Germany</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Laboratories Deutschland Subsidiary GmbH</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Germany</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Laboratories GmbH</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Germany</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Management GmbH</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Germany</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Medical GmbH</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Germany</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Rapid Diagnostics Germany GmbH</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Germany</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Rapid Diagnostics Jena GmbH</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Germany</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97"/>
        </w:trPr>
        <w:tc>
          <w:tcPr>
            <w:tcW w:w="7740" w:type="dxa"/>
            <w:vAlign w:val="bottom"/>
            <w:tcBorders>
              <w:left w:val="single" w:sz="8" w:color="auto"/>
              <w:right w:val="single" w:sz="8" w:color="auto"/>
            </w:tcBorders>
            <w:shd w:val="clear" w:color="auto" w:fill="CCEEFF"/>
          </w:tcPr>
          <w:p>
            <w:pPr>
              <w:spacing w:after="0"/>
              <w:rPr>
                <w:sz w:val="8"/>
                <w:szCs w:val="8"/>
                <w:color w:val="auto"/>
              </w:rPr>
            </w:pPr>
          </w:p>
        </w:tc>
        <w:tc>
          <w:tcPr>
            <w:tcW w:w="3100" w:type="dxa"/>
            <w:vAlign w:val="bottom"/>
            <w:tcBorders>
              <w:right w:val="single" w:sz="8" w:color="auto"/>
            </w:tcBorders>
            <w:shd w:val="clear" w:color="auto" w:fill="CCEEFF"/>
          </w:tcPr>
          <w:p>
            <w:pPr>
              <w:spacing w:after="0"/>
              <w:rPr>
                <w:sz w:val="8"/>
                <w:szCs w:val="8"/>
                <w:color w:val="auto"/>
              </w:rPr>
            </w:pPr>
          </w:p>
        </w:tc>
      </w:tr>
    </w:tbl>
    <w:p>
      <w:pPr>
        <w:sectPr>
          <w:pgSz w:w="11900" w:h="16900" w:orient="portrait"/>
          <w:cols w:equalWidth="0" w:num="1">
            <w:col w:w="10820"/>
          </w:cols>
          <w:pgMar w:left="420" w:top="1440" w:right="659" w:bottom="0" w:gutter="0" w:footer="0" w:header="0"/>
        </w:sectPr>
      </w:pPr>
    </w:p>
    <w:bookmarkStart w:id="105" w:name="page106"/>
    <w:bookmarkEnd w:id="10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7740" w:type="dxa"/>
            <w:vAlign w:val="bottom"/>
            <w:tcBorders>
              <w:left w:val="single" w:sz="8" w:color="CCEEFF"/>
              <w:bottom w:val="single" w:sz="8" w:color="auto"/>
              <w:right w:val="single" w:sz="8" w:color="CCEEFF"/>
            </w:tcBorders>
            <w:shd w:val="clear" w:color="auto" w:fill="CCEEFF"/>
          </w:tcPr>
          <w:p>
            <w:pPr>
              <w:spacing w:after="0"/>
              <w:rPr>
                <w:sz w:val="24"/>
                <w:szCs w:val="24"/>
                <w:color w:val="auto"/>
              </w:rPr>
            </w:pPr>
          </w:p>
        </w:tc>
        <w:tc>
          <w:tcPr>
            <w:tcW w:w="3100" w:type="dxa"/>
            <w:vAlign w:val="bottom"/>
            <w:tcBorders>
              <w:bottom w:val="single" w:sz="8" w:color="auto"/>
              <w:right w:val="single" w:sz="8" w:color="auto"/>
            </w:tcBorders>
            <w:shd w:val="clear" w:color="auto" w:fill="CCEEFF"/>
          </w:tcPr>
          <w:p>
            <w:pPr>
              <w:spacing w:after="0"/>
              <w:rPr>
                <w:sz w:val="24"/>
                <w:szCs w:val="2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Alere Holding GmbH</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Germany</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Cardiovascular Systems GmbH</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Germany</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Fournier Pharma GmbH</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Germany</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LARALAB GmbH</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Germany</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Lingo Germany GmbH</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Germany</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Laboratories (Hellas) Societe Anonyme</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Greece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Medical Hellas Limited Liability Trading Company</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Greece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Laboratorios, Limitada</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Guatemala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Lafrancol Guatemala, S.A.</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Guatemala</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Comercializadora y Distribuidora CFR Interamericas Honduras S.A.</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Honduras</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Hong Kong Holdings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Hong Kong</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10820"/>
          </w:cols>
          <w:pgMar w:left="420" w:top="140" w:right="659" w:bottom="1440" w:gutter="0" w:footer="0" w:header="0"/>
        </w:sectPr>
      </w:pPr>
    </w:p>
    <w:bookmarkStart w:id="106" w:name="page107"/>
    <w:bookmarkEnd w:id="106"/>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7740" w:type="dxa"/>
            <w:vAlign w:val="bottom"/>
            <w:tcBorders>
              <w:top w:val="single" w:sz="8" w:color="auto"/>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Laboratories Limited</w:t>
            </w:r>
          </w:p>
        </w:tc>
        <w:tc>
          <w:tcPr>
            <w:tcW w:w="3100" w:type="dxa"/>
            <w:vAlign w:val="bottom"/>
            <w:tcBorders>
              <w:top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Hong Kong</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Medical (Hong Kong)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Hong Kong</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Alere HK Holdings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Hong Kong</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Inverness Medical Innovations Hong Kong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Hong Kong</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Medical Korlátolt Felelősségű Társaság</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Hungary</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Diagnostics Medical Private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India</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Healthcare Private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India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India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India *</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Inverness Medical Shimla Private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India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St. Jude Medical India Private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India</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PT Alere Health</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Indonesia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PT. Abbott Indonesia</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 *</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PT. Abbott Products Indonesia</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Indonesia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Ireland Financing Designated Activity Company</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Ireland</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Ireland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Ireland</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Laboratories, Ireland,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Ireland</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Mature Products Management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Ireland</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Medical Ireland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Ireland</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Nutrition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Ireland</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Rapid Diagnostics International Holdco Unlimited Company</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Ireland</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Rapid Diagnostics International Subsidiary Unlimited Company</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Ireland</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Rapid Diagnostics International Unlimited Company</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Ireland</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Rapid DX International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Ireland</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Alere Technologies Holdings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Ireland</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Apica Cardiovascular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Ireland</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Diversified Healthcare Solutions Operations Unlimited Company</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Ireland</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Lingo Sensing Technology Unlimited Company</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Ireland</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Medical Laboratories LTD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Israel</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Alere Connected Health LTD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Israel</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MediGuide Ltd.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Israel</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Orgenics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Israel</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Medical Italia S.R.L.</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Italy</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Rapid Diagnostics S.r.l.</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Italy</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S.r.l.</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Italy</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Diagnostics Medical Co., Ltd.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Japan</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97"/>
        </w:trPr>
        <w:tc>
          <w:tcPr>
            <w:tcW w:w="7740" w:type="dxa"/>
            <w:vAlign w:val="bottom"/>
            <w:tcBorders>
              <w:left w:val="single" w:sz="8" w:color="auto"/>
              <w:right w:val="single" w:sz="8" w:color="auto"/>
            </w:tcBorders>
          </w:tcPr>
          <w:p>
            <w:pPr>
              <w:spacing w:after="0"/>
              <w:rPr>
                <w:sz w:val="8"/>
                <w:szCs w:val="8"/>
                <w:color w:val="auto"/>
              </w:rPr>
            </w:pPr>
          </w:p>
        </w:tc>
        <w:tc>
          <w:tcPr>
            <w:tcW w:w="3100" w:type="dxa"/>
            <w:vAlign w:val="bottom"/>
            <w:tcBorders>
              <w:right w:val="single" w:sz="8" w:color="auto"/>
            </w:tcBorders>
          </w:tcPr>
          <w:p>
            <w:pPr>
              <w:spacing w:after="0"/>
              <w:rPr>
                <w:sz w:val="8"/>
                <w:szCs w:val="8"/>
                <w:color w:val="auto"/>
              </w:rPr>
            </w:pPr>
          </w:p>
        </w:tc>
      </w:tr>
    </w:tbl>
    <w:p>
      <w:pPr>
        <w:sectPr>
          <w:pgSz w:w="11900" w:h="16900" w:orient="portrait"/>
          <w:cols w:equalWidth="0" w:num="1">
            <w:col w:w="10820"/>
          </w:cols>
          <w:pgMar w:left="420" w:top="1440" w:right="659" w:bottom="0" w:gutter="0" w:footer="0" w:header="0"/>
        </w:sectPr>
      </w:pPr>
    </w:p>
    <w:bookmarkStart w:id="107" w:name="page108"/>
    <w:bookmarkEnd w:id="10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7740" w:type="dxa"/>
            <w:vAlign w:val="bottom"/>
            <w:tcBorders>
              <w:left w:val="single" w:sz="8" w:color="auto"/>
              <w:bottom w:val="single" w:sz="8" w:color="auto"/>
              <w:right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Medical Japan LLC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Japan</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St. Jude Medical Asia Pacific Holdings GK</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Kazakhstan Limited Liability Partnership</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Kazakhstan</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Kenya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Kenya</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Diagnostics Korea,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Korea (the Republic of)</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Korea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Korea (the Republic of)</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Medical Korea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Korea (the Republic of)</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Rapid Diagnostics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Korea (the Republic of)</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ALR Holdings</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Korea (the Republic of)</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Laboratories Baltics"</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Latvia</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UAB "Abbott Medical Lithuania"</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Lithuania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bl>
    <w:p>
      <w:pPr>
        <w:sectPr>
          <w:pgSz w:w="11900" w:h="16838" w:orient="portrait"/>
          <w:cols w:equalWidth="0" w:num="1">
            <w:col w:w="10820"/>
          </w:cols>
          <w:pgMar w:left="420" w:top="140" w:right="659" w:bottom="1440" w:gutter="0" w:footer="0" w:header="0"/>
        </w:sectPr>
      </w:pPr>
    </w:p>
    <w:bookmarkStart w:id="108" w:name="page109"/>
    <w:bookmarkEnd w:id="108"/>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774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Bulgaria Luxembourg S.à r.l.</w:t>
            </w:r>
          </w:p>
        </w:tc>
        <w:tc>
          <w:tcPr>
            <w:tcW w:w="31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Luxembourg</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Established Products Holdings (Gibraltar) S.a.r.l.</w:t>
            </w:r>
          </w:p>
        </w:tc>
        <w:tc>
          <w:tcPr>
            <w:tcW w:w="310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Luxembourg</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Finance Holdings Luxembourg S.a.r.l.</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Luxembourg</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Healthcare (Puerto Rico) S.à r.l.</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Luxembourg</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Healthcare Luxembourg S.à r.l.</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Luxembourg</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Holding Subsidiary (Bermuda) S.a.r.l.</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Luxembourg</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Holdings Universal S.a.r.l.</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Luxembourg</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International Holdings Luxembourg S.a.r.l.</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Luxembourg</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International Luxembourg S.àr.l.</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Luxembourg</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Investments Luxembourg S.à r.l.</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Luxembourg</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Luxembourg Finance S.à r.l.</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Luxembourg</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Nederland Luxembourg S.à r.l.</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Luxembourg</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Overseas Cyprus S.à r.l.</w:t>
            </w:r>
          </w:p>
        </w:tc>
        <w:tc>
          <w:tcPr>
            <w:tcW w:w="3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Luxembourg</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Overseas Luxembourg S.à r.l.</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Luxembourg</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Poland Luxembourg S.à r.l.</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Luxembourg</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South Africa Luxembourg S.à r.l.</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Luxembourg</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Subsidiary (Bermuda) S.a.r.l.</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Luxembourg</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Subsidiary Luxembourg Affiliate S.à r.l.</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Luxembourg</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Subsidiary Luxembourg Finance S.à r.l.</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Luxembourg</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Volga Luxembourg S.à r.l.</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Luxembourg</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St. Jude Medical International Holding</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Luxembourg</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St. Jude Medical Luxembourg Holdings II</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Luxembourg</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St. Jude Medical Luxembourg Holdings NT</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Luxembourg</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St. Jude Medical Luxembourg Holdings SMI S.à r.l.</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Luxembourg</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St. Jude Medical Luxembourg Holdings TC S.à r.l.</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Luxembourg</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St. Jude Medical Luxembourg</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Luxembourg</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Diagnostics Health Sdn. Bhd.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Malaysia</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Laboratories (Malaysia) Sdn. Bhd.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Malaysia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Medical (Malaysia) Sdn. Bhd.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Malaysia</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St. Jude Medical Operations (Malaysia) Sdn. Bhd.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Malaysia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Affiliate Holdings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Malta</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Healthcare Holdings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Malta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Healthcare Malta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Malta</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Holding (Malta)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Malta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Medical Finance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Malta</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97"/>
        </w:trPr>
        <w:tc>
          <w:tcPr>
            <w:tcW w:w="7740" w:type="dxa"/>
            <w:vAlign w:val="bottom"/>
            <w:tcBorders>
              <w:left w:val="single" w:sz="8" w:color="auto"/>
              <w:right w:val="single" w:sz="8" w:color="auto"/>
            </w:tcBorders>
            <w:shd w:val="clear" w:color="auto" w:fill="CCEEFF"/>
          </w:tcPr>
          <w:p>
            <w:pPr>
              <w:spacing w:after="0"/>
              <w:rPr>
                <w:sz w:val="8"/>
                <w:szCs w:val="8"/>
                <w:color w:val="auto"/>
              </w:rPr>
            </w:pPr>
          </w:p>
        </w:tc>
        <w:tc>
          <w:tcPr>
            <w:tcW w:w="3100" w:type="dxa"/>
            <w:vAlign w:val="bottom"/>
            <w:tcBorders>
              <w:right w:val="single" w:sz="8" w:color="auto"/>
            </w:tcBorders>
            <w:shd w:val="clear" w:color="auto" w:fill="CCEEFF"/>
          </w:tcPr>
          <w:p>
            <w:pPr>
              <w:spacing w:after="0"/>
              <w:rPr>
                <w:sz w:val="8"/>
                <w:szCs w:val="8"/>
                <w:color w:val="auto"/>
              </w:rPr>
            </w:pPr>
          </w:p>
        </w:tc>
      </w:tr>
    </w:tbl>
    <w:p>
      <w:pPr>
        <w:sectPr>
          <w:pgSz w:w="11900" w:h="16900" w:orient="portrait"/>
          <w:cols w:equalWidth="0" w:num="1">
            <w:col w:w="10820"/>
          </w:cols>
          <w:pgMar w:left="420" w:top="1440" w:right="659" w:bottom="0" w:gutter="0" w:footer="0" w:header="0"/>
        </w:sectPr>
      </w:pPr>
    </w:p>
    <w:bookmarkStart w:id="109" w:name="page110"/>
    <w:bookmarkEnd w:id="10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7740" w:type="dxa"/>
            <w:vAlign w:val="bottom"/>
            <w:tcBorders>
              <w:left w:val="single" w:sz="8" w:color="CCEEFF"/>
              <w:bottom w:val="single" w:sz="8" w:color="auto"/>
              <w:right w:val="single" w:sz="8" w:color="CCEEFF"/>
            </w:tcBorders>
            <w:shd w:val="clear" w:color="auto" w:fill="CCEEFF"/>
          </w:tcPr>
          <w:p>
            <w:pPr>
              <w:spacing w:after="0"/>
              <w:rPr>
                <w:sz w:val="24"/>
                <w:szCs w:val="24"/>
                <w:color w:val="auto"/>
              </w:rPr>
            </w:pPr>
          </w:p>
        </w:tc>
        <w:tc>
          <w:tcPr>
            <w:tcW w:w="3100" w:type="dxa"/>
            <w:vAlign w:val="bottom"/>
            <w:tcBorders>
              <w:bottom w:val="single" w:sz="8" w:color="auto"/>
              <w:right w:val="single" w:sz="8" w:color="auto"/>
            </w:tcBorders>
            <w:shd w:val="clear" w:color="auto" w:fill="CCEEFF"/>
          </w:tcPr>
          <w:p>
            <w:pPr>
              <w:spacing w:after="0"/>
              <w:rPr>
                <w:sz w:val="24"/>
                <w:szCs w:val="2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Rapid Diagnostics Global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Malta</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Rapid Diagnostics Holdings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Malta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Rapid Diagnostics International Financing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Malta</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Subsidiary CR Financing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Malta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Subsidiary Finance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Malta</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Diversified Healthcare Solutions Holdings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Malta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Diversified Healthcare Solutions Subsidiary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Malta</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Yissum Holding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Malta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Laboratories de México, S.A. de C.V.</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Mexico</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Medical Mexico, Sociedad de Responsabilidad Limitada de Capital Variable</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Mexico</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bl>
    <w:p>
      <w:pPr>
        <w:sectPr>
          <w:pgSz w:w="11900" w:h="16838" w:orient="portrait"/>
          <w:cols w:equalWidth="0" w:num="1">
            <w:col w:w="10820"/>
          </w:cols>
          <w:pgMar w:left="420" w:top="140" w:right="659" w:bottom="1440" w:gutter="0" w:footer="0" w:header="0"/>
        </w:sectPr>
      </w:pPr>
    </w:p>
    <w:bookmarkStart w:id="110" w:name="page111"/>
    <w:bookmarkEnd w:id="110"/>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774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SJ Medical Mexico, S de R.L. de C.V.</w:t>
            </w:r>
          </w:p>
        </w:tc>
        <w:tc>
          <w:tcPr>
            <w:tcW w:w="31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Mexico</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Morocco SARL</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Morocco</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Affiliate Holdings B.V.</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Netherlands</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B.V.</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Netherlands</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Biologicals B.V.</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Netherlands</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Diagnostics Investments B.V.</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Netherlands</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Healthcare B.V.</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Netherlands</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Healthcare Products B.V.</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Netherlands</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Holdings B.V.</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Netherlands</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Laboratories B.V.</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Netherlands</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Laboratories European Holdings B.V.</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Netherlands</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Logistics B.V.</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Netherlands</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Medical Nederland B.V.</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Netherlands</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Nederland C.V.</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Netherlands</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Netherlands Investments B.V.</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Netherlands</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Rapid Diagnostics B.V.</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Netherlands</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Rapid Diagnostics Holding B.V.</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Netherlands</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Vascular Netherlands B.V.</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Netherlands</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IMTC Finance B.V.</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Netherlands</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IMTC Holdings B.V.</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Netherlands</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Nether Pharma N.P. C.V.</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Netherlands</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Orgenics International Holdings B.V.</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Netherlands</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St. Jude Medical Holdings B.V.</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Netherlands</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Laboratories NZ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New Zealand</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Medical New Zealand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New Zealand</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Rapid Diagnostics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New Zealand</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CFR Interamericas Nicaragua, Sociedad Anónima</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Nicaragua</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Healthcare Nigeria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Nigeria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Diagnostics Technologies AS</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Norway</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Medical Norway AS</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Norway</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Nordics Holding AS</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Norway</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Nordics Subsidiary AS</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Norway</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Norge AS</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Norway</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Rapid Diagnostics AS</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Norway</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Axis-Shield AS</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Norway</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97"/>
        </w:trPr>
        <w:tc>
          <w:tcPr>
            <w:tcW w:w="7740" w:type="dxa"/>
            <w:vAlign w:val="bottom"/>
            <w:tcBorders>
              <w:left w:val="single" w:sz="8" w:color="auto"/>
              <w:right w:val="single" w:sz="8" w:color="auto"/>
            </w:tcBorders>
            <w:shd w:val="clear" w:color="auto" w:fill="CCEEFF"/>
          </w:tcPr>
          <w:p>
            <w:pPr>
              <w:spacing w:after="0"/>
              <w:rPr>
                <w:sz w:val="8"/>
                <w:szCs w:val="8"/>
                <w:color w:val="auto"/>
              </w:rPr>
            </w:pPr>
          </w:p>
        </w:tc>
        <w:tc>
          <w:tcPr>
            <w:tcW w:w="3100" w:type="dxa"/>
            <w:vAlign w:val="bottom"/>
            <w:tcBorders>
              <w:right w:val="single" w:sz="8" w:color="auto"/>
            </w:tcBorders>
            <w:shd w:val="clear" w:color="auto" w:fill="CCEEFF"/>
          </w:tcPr>
          <w:p>
            <w:pPr>
              <w:spacing w:after="0"/>
              <w:rPr>
                <w:sz w:val="8"/>
                <w:szCs w:val="8"/>
                <w:color w:val="auto"/>
              </w:rPr>
            </w:pPr>
          </w:p>
        </w:tc>
      </w:tr>
    </w:tbl>
    <w:p>
      <w:pPr>
        <w:sectPr>
          <w:pgSz w:w="11900" w:h="16900" w:orient="portrait"/>
          <w:cols w:equalWidth="0" w:num="1">
            <w:col w:w="10820"/>
          </w:cols>
          <w:pgMar w:left="420" w:top="1440" w:right="659" w:bottom="0" w:gutter="0" w:footer="0" w:header="0"/>
        </w:sectPr>
      </w:pPr>
    </w:p>
    <w:bookmarkStart w:id="111" w:name="page112"/>
    <w:bookmarkEnd w:id="1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7740" w:type="dxa"/>
            <w:vAlign w:val="bottom"/>
            <w:tcBorders>
              <w:left w:val="single" w:sz="8" w:color="CCEEFF"/>
              <w:bottom w:val="single" w:sz="8" w:color="auto"/>
              <w:right w:val="single" w:sz="8" w:color="CCEEFF"/>
            </w:tcBorders>
            <w:shd w:val="clear" w:color="auto" w:fill="CCEEFF"/>
          </w:tcPr>
          <w:p>
            <w:pPr>
              <w:spacing w:after="0"/>
              <w:rPr>
                <w:sz w:val="24"/>
                <w:szCs w:val="24"/>
                <w:color w:val="auto"/>
              </w:rPr>
            </w:pPr>
          </w:p>
        </w:tc>
        <w:tc>
          <w:tcPr>
            <w:tcW w:w="3100" w:type="dxa"/>
            <w:vAlign w:val="bottom"/>
            <w:tcBorders>
              <w:bottom w:val="single" w:sz="8" w:color="auto"/>
              <w:right w:val="single" w:sz="8" w:color="auto"/>
            </w:tcBorders>
            <w:shd w:val="clear" w:color="auto" w:fill="CCEEFF"/>
          </w:tcPr>
          <w:p>
            <w:pPr>
              <w:spacing w:after="0"/>
              <w:rPr>
                <w:sz w:val="24"/>
                <w:szCs w:val="2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Alere Medical Pakistan (Private)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Pakistan</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Laboratories, C.A.</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Panama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Overseas, S.A.</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Panama</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Caripharm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Panama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CFR Interamericas Panamá S.A.</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Panama</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Gynopharm de Centroamérica S.A.</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Panama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Ramses Business Corp.</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Panama</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Saboya Enterprises Corporation</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Panama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Pharma International Sociedad Anonima</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Paraguay</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Laboratorios S.A.</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Peru</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Farmindustria S.A.</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Peru</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10820"/>
          </w:cols>
          <w:pgMar w:left="420" w:top="140" w:right="659" w:bottom="1440" w:gutter="0" w:footer="0" w:header="0"/>
        </w:sectPr>
      </w:pPr>
    </w:p>
    <w:bookmarkStart w:id="112" w:name="page113"/>
    <w:bookmarkEnd w:id="112"/>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7740" w:type="dxa"/>
            <w:vAlign w:val="bottom"/>
            <w:tcBorders>
              <w:top w:val="single" w:sz="8" w:color="auto"/>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Lafrancol Perú S.R.L</w:t>
            </w:r>
          </w:p>
        </w:tc>
        <w:tc>
          <w:tcPr>
            <w:tcW w:w="3100" w:type="dxa"/>
            <w:vAlign w:val="bottom"/>
            <w:tcBorders>
              <w:top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Peru</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Neosalud S.A.C.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Peru</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Laboratories</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Philippines</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Products (Philippines),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Philippines</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Alere Philippines, Inc.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Philippines</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Arriva Medical Philippines, Inc.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Philippines</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Holdings Poland Spółka z ograniczoną odpowiedzialnością</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Poland</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Laboratories Poland Spółka z ograniczoną odpowiedzialnością</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Poland</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Medical spółka z ograniczoną odpowiedzialnością</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Poland</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Laboratórios, Lda</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Portugal</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Medical (Portugal) Distribuicao de Produtos Medicos Lda</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Portugal</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Rapid Diagnostics LDA</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Portugal</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ISens – Elecronica, Unipessoal, LDA</w:t>
            </w:r>
          </w:p>
        </w:tc>
        <w:tc>
          <w:tcPr>
            <w:tcW w:w="310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Portugal</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Laboratories (Puerto Rico) Incorporated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Puerto Rico</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Medical Puerto Rico LLC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Puerto Rico</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St. Jude Medical Holdings Puerto Rico LLC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Puerto Rico</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St. Jude Medical Puerto Rico LLC</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Puerto Rico</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Products Romania S.R.L.</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Romania</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Limited Liability Company “VEROPHARM”</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Russian Federation</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Limited Liability Company Abbott Laboratories</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SC "VEROPHARM"</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Russian Federation</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Saudi Arabia for Trading</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Saudi Arabia</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UK Enterprises Limited Partnership</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Scotland</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Alere Technologies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Scotland</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Alisoc Investment &amp; Co</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Scotland</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Axis-Shield Diagnostics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Scotland</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Axis-Shield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Scotland</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European Chemicals &amp; Co</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Scotland</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Globapharm &amp; CO LP</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Scotland</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Medical Balkan d.o.o. Beograd (Novi Beograd)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Serbia</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Laboratories (Singapore) Private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Singapore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Laboratories Singapore Holdings Pte. Ltd.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Singapore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LABORATORIES SUBSIDIARY SINGAPORE PRIVATE LTD.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Singapore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Labs Medical Singapore Holdings Pte. Ltd.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Singapore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Manufacturing Singapore Private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Singapore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97"/>
        </w:trPr>
        <w:tc>
          <w:tcPr>
            <w:tcW w:w="7740" w:type="dxa"/>
            <w:vAlign w:val="bottom"/>
            <w:tcBorders>
              <w:left w:val="single" w:sz="8" w:color="auto"/>
              <w:right w:val="single" w:sz="8" w:color="auto"/>
            </w:tcBorders>
          </w:tcPr>
          <w:p>
            <w:pPr>
              <w:spacing w:after="0"/>
              <w:rPr>
                <w:sz w:val="8"/>
                <w:szCs w:val="8"/>
                <w:color w:val="auto"/>
              </w:rPr>
            </w:pPr>
          </w:p>
        </w:tc>
        <w:tc>
          <w:tcPr>
            <w:tcW w:w="3100" w:type="dxa"/>
            <w:vAlign w:val="bottom"/>
            <w:tcBorders>
              <w:right w:val="single" w:sz="8" w:color="auto"/>
            </w:tcBorders>
          </w:tcPr>
          <w:p>
            <w:pPr>
              <w:spacing w:after="0"/>
              <w:rPr>
                <w:sz w:val="8"/>
                <w:szCs w:val="8"/>
                <w:color w:val="auto"/>
              </w:rPr>
            </w:pPr>
          </w:p>
        </w:tc>
      </w:tr>
    </w:tbl>
    <w:p>
      <w:pPr>
        <w:sectPr>
          <w:pgSz w:w="11900" w:h="16900" w:orient="portrait"/>
          <w:cols w:equalWidth="0" w:num="1">
            <w:col w:w="10820"/>
          </w:cols>
          <w:pgMar w:left="420" w:top="1440" w:right="659" w:bottom="0" w:gutter="0" w:footer="0" w:header="0"/>
        </w:sectPr>
      </w:pPr>
    </w:p>
    <w:bookmarkStart w:id="113" w:name="page114"/>
    <w:bookmarkEnd w:id="1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7740" w:type="dxa"/>
            <w:vAlign w:val="bottom"/>
            <w:tcBorders>
              <w:left w:val="single" w:sz="8" w:color="auto"/>
              <w:bottom w:val="single" w:sz="8" w:color="auto"/>
              <w:right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Operations Singapore Pte. Ltd.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Singapore</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Rapid Diagnostics PTE. LTD.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Singapore</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Laboratories Slovakia s.r.o.</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Slovakia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Laboratories družba za farmacijo in diagnostiko d.o.o.</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Slovenia</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Laboratories South Africa (Pty) Ltd.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South Africa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Rapid Diagnostics (PTY) LTD.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South Africa</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Murex Biotech South Africa</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South Africa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Pantech (RF) (PTY) LTD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South Africa *</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Doral Investments, S.L.</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Spain</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Laboratories, S.A.</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Spain</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Medical España, S.A.</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Spain</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bl>
    <w:p>
      <w:pPr>
        <w:sectPr>
          <w:pgSz w:w="11900" w:h="16838" w:orient="portrait"/>
          <w:cols w:equalWidth="0" w:num="1">
            <w:col w:w="10820"/>
          </w:cols>
          <w:pgMar w:left="420" w:top="140" w:right="659" w:bottom="1440" w:gutter="0" w:footer="0" w:header="0"/>
        </w:sectPr>
      </w:pPr>
    </w:p>
    <w:bookmarkStart w:id="114" w:name="page115"/>
    <w:bookmarkEnd w:id="114"/>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774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Products (Spain), S.L.</w:t>
            </w:r>
          </w:p>
        </w:tc>
        <w:tc>
          <w:tcPr>
            <w:tcW w:w="31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Spain</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Rapid Diagnostics Healthcare, S.L.</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Spain</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Farmaceutica Mont Blanc, S.L.</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Spain</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Fundación Abbott</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Spain</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Igloo Zone, S.L.</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Spain</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Medical Sweden AB</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Sweden</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Rapid Diagnostics AB</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Sweden</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Scandinavia Aktiebolag</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Sweden</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European Drug Testing Service EDTS AB</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Sweden</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St. Jude Medical AB</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Sweden</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St. Jude Medical Systems AB</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Sweden</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AG</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Switzerland</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Finance Company SA</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Switzerland</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Laboratories GmbH</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Switzerland</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Medical (Schweiz) AG</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Switzerland</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Products Operations AG</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Switzerland</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Rapid Diagnostics Schweiz GmbH</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Switzerland</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Switzerland Investments GmbH</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Switzerland</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Alere Switzerland GmbH</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Switzerland</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Thoratec Switzerland GmbH</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Switzerland</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Medical Taiwan Co.</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Taiwan (Province of China)</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Rapid Diagnostics Health Corp.</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Taiwan (Province of China)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Fund Tanzania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Tanzania, the United Republic of</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Laboratories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Thailand</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Medical (Thailand) Co., Ltd.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Thailand</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Products Tunisie S.A.R.L.</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Tunisia</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Laboratuarlari Ithalat Ihracat ve Ticaret Ltd.Sti</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Turkey</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St. Jude Medical Turkey Medikal Ürünler Ticaret Limited Sirketi</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Turkey</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"Veropharm" Limited Liability Company</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Ukraine</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Limited Liability Company "Abbott Ukraine"</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Ukraine</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St. Jude Medical Middle East DMCC</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Arab Emirates</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(UK) Finance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United Kingdom</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(UK) Holdings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Kingdom</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Asia Holdings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United Kingdom</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Asia Investments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Kingdom</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97"/>
        </w:trPr>
        <w:tc>
          <w:tcPr>
            <w:tcW w:w="7740" w:type="dxa"/>
            <w:vAlign w:val="bottom"/>
            <w:tcBorders>
              <w:left w:val="single" w:sz="8" w:color="auto"/>
              <w:right w:val="single" w:sz="8" w:color="auto"/>
            </w:tcBorders>
            <w:shd w:val="clear" w:color="auto" w:fill="CCEEFF"/>
          </w:tcPr>
          <w:p>
            <w:pPr>
              <w:spacing w:after="0"/>
              <w:rPr>
                <w:sz w:val="8"/>
                <w:szCs w:val="8"/>
                <w:color w:val="auto"/>
              </w:rPr>
            </w:pPr>
          </w:p>
        </w:tc>
        <w:tc>
          <w:tcPr>
            <w:tcW w:w="3100" w:type="dxa"/>
            <w:vAlign w:val="bottom"/>
            <w:tcBorders>
              <w:right w:val="single" w:sz="8" w:color="auto"/>
            </w:tcBorders>
            <w:shd w:val="clear" w:color="auto" w:fill="CCEEFF"/>
          </w:tcPr>
          <w:p>
            <w:pPr>
              <w:spacing w:after="0"/>
              <w:rPr>
                <w:sz w:val="8"/>
                <w:szCs w:val="8"/>
                <w:color w:val="auto"/>
              </w:rPr>
            </w:pPr>
          </w:p>
        </w:tc>
      </w:tr>
    </w:tbl>
    <w:p>
      <w:pPr>
        <w:sectPr>
          <w:pgSz w:w="11900" w:h="16900" w:orient="portrait"/>
          <w:cols w:equalWidth="0" w:num="1">
            <w:col w:w="10820"/>
          </w:cols>
          <w:pgMar w:left="420" w:top="1440" w:right="659" w:bottom="0" w:gutter="0" w:footer="0" w:header="0"/>
        </w:sectPr>
      </w:pPr>
    </w:p>
    <w:bookmarkStart w:id="115" w:name="page116"/>
    <w:bookmarkEnd w:id="1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7740" w:type="dxa"/>
            <w:vAlign w:val="bottom"/>
            <w:tcBorders>
              <w:left w:val="single" w:sz="8" w:color="CCEEFF"/>
              <w:bottom w:val="single" w:sz="8" w:color="auto"/>
              <w:right w:val="single" w:sz="8" w:color="CCEEFF"/>
            </w:tcBorders>
            <w:shd w:val="clear" w:color="auto" w:fill="CCEEFF"/>
          </w:tcPr>
          <w:p>
            <w:pPr>
              <w:spacing w:after="0"/>
              <w:rPr>
                <w:sz w:val="24"/>
                <w:szCs w:val="24"/>
                <w:color w:val="auto"/>
              </w:rPr>
            </w:pPr>
          </w:p>
        </w:tc>
        <w:tc>
          <w:tcPr>
            <w:tcW w:w="3100" w:type="dxa"/>
            <w:vAlign w:val="bottom"/>
            <w:tcBorders>
              <w:bottom w:val="single" w:sz="8" w:color="auto"/>
              <w:right w:val="single" w:sz="8" w:color="auto"/>
            </w:tcBorders>
            <w:shd w:val="clear" w:color="auto" w:fill="CCEEFF"/>
          </w:tcPr>
          <w:p>
            <w:pPr>
              <w:spacing w:after="0"/>
              <w:rPr>
                <w:sz w:val="24"/>
                <w:szCs w:val="2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Capital India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Kingdom</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Diabetes Care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United Kingdom</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Equity Holdings Unlimited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Kingdom</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Healthcare Connections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United Kingdom</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Healthcare Products Ltd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Kingdom</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Laboratories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United Kingdom</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Laboratories Trustee Company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Kingdom</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Medical U.K.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United Kingdom</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Rapid Diagnostics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Kingdom</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Toxicology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United Kingdom</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UK Investments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Kingdom</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10820"/>
          </w:cols>
          <w:pgMar w:left="420" w:top="140" w:right="659" w:bottom="1440" w:gutter="0" w:footer="0" w:header="0"/>
        </w:sectPr>
      </w:pPr>
    </w:p>
    <w:bookmarkStart w:id="116" w:name="page117"/>
    <w:bookmarkEnd w:id="11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7740" w:type="dxa"/>
            <w:vAlign w:val="bottom"/>
            <w:tcBorders>
              <w:top w:val="single" w:sz="8" w:color="auto"/>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UK Subsidiary Limited</w:t>
            </w:r>
          </w:p>
        </w:tc>
        <w:tc>
          <w:tcPr>
            <w:tcW w:w="3100" w:type="dxa"/>
            <w:vAlign w:val="bottom"/>
            <w:tcBorders>
              <w:top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United Kingdom</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Vascular Devices (2)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Kingdom</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Vascular Devices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United Kingdom</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Alere AS Holdings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Kingdom</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Alere UK Holdings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United Kingdom</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British Colloids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Kingdom</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Cozart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United Kingdom</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Forensics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Kingdom</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Gynocare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United Kingdom</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IG Innovations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Kingdom</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1"/>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Knoll UK Investments Unlimited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United Kingdom</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1"/>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Lingo Technology UK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Kingdom</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Murex Biotech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United Kingdom</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Patients Pending Ltd.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Kingdom</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Sinensix &amp; Co.</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United Kingdom</w:t>
            </w:r>
          </w:p>
        </w:tc>
      </w:tr>
      <w:tr>
        <w:trPr>
          <w:trHeight w:val="171"/>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TwistDX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Kingdom</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Unipath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United Kingdom</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Laboratories Uruguay S.A.</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Uruguay</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Operations Uruguay S.R.L.</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Uruguay</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European Services S.A.</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Uruguay</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Fernwood Investment S.A.</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Uruguay</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Pharmaceutical Technologies (Pharmatech) S.A.</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Uruguay</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Abbott Laboratories, C.A.</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Venezuela</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Gynopharm de Venezuela, C.A.</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Venezuela</w:t>
            </w:r>
          </w:p>
        </w:tc>
      </w:tr>
      <w:tr>
        <w:trPr>
          <w:trHeight w:val="172"/>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3A Nutrition (Vietnam) Company Limited</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Viet Nam</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40"/>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Abbott Healthcare Vietnam Company Limited</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Viet Nam</w:t>
            </w:r>
          </w:p>
        </w:tc>
      </w:tr>
      <w:tr>
        <w:trPr>
          <w:trHeight w:val="171"/>
        </w:trPr>
        <w:tc>
          <w:tcPr>
            <w:tcW w:w="774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240"/>
        </w:trPr>
        <w:tc>
          <w:tcPr>
            <w:tcW w:w="77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Domesco Medical Import-Export Joint-Stock Corporation</w:t>
            </w:r>
          </w:p>
        </w:tc>
        <w:tc>
          <w:tcPr>
            <w:tcW w:w="3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Viet Nam *</w:t>
            </w:r>
          </w:p>
        </w:tc>
      </w:tr>
      <w:tr>
        <w:trPr>
          <w:trHeight w:val="172"/>
        </w:trPr>
        <w:tc>
          <w:tcPr>
            <w:tcW w:w="77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100" w:type="dxa"/>
            <w:vAlign w:val="bottom"/>
            <w:tcBorders>
              <w:bottom w:val="single" w:sz="8" w:color="auto"/>
              <w:right w:val="single" w:sz="8" w:color="auto"/>
            </w:tcBorders>
            <w:shd w:val="clear" w:color="auto" w:fill="CCEEFF"/>
          </w:tcPr>
          <w:p>
            <w:pPr>
              <w:spacing w:after="0"/>
              <w:rPr>
                <w:sz w:val="14"/>
                <w:szCs w:val="14"/>
                <w:color w:val="auto"/>
              </w:rPr>
            </w:pPr>
          </w:p>
        </w:tc>
      </w:tr>
    </w:tbl>
    <w:p>
      <w:pPr>
        <w:sectPr>
          <w:pgSz w:w="11900" w:h="16838" w:orient="portrait"/>
          <w:cols w:equalWidth="0" w:num="1">
            <w:col w:w="10820"/>
          </w:cols>
          <w:pgMar w:left="420" w:top="1440" w:right="65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18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84" w:lineRule="exact"/>
        <w:rPr>
          <w:sz w:val="20"/>
          <w:szCs w:val="20"/>
          <w:color w:val="auto"/>
        </w:rPr>
      </w:pPr>
    </w:p>
    <w:p>
      <w:pPr>
        <w:ind w:left="980" w:hanging="324"/>
        <w:spacing w:after="0" w:line="207" w:lineRule="exact"/>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158782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for the Abbott Laboratories 2009 Incentive Stock Program;</w:t>
      </w:r>
    </w:p>
    <w:p>
      <w:pPr>
        <w:spacing w:after="0" w:line="252" w:lineRule="exact"/>
        <w:rPr>
          <w:rFonts w:ascii="Times New Roman" w:cs="Times New Roman" w:eastAsia="Times New Roman" w:hAnsi="Times New Roman"/>
          <w:sz w:val="18"/>
          <w:szCs w:val="18"/>
          <w:color w:val="auto"/>
        </w:rPr>
      </w:pPr>
    </w:p>
    <w:p>
      <w:pPr>
        <w:ind w:left="1300" w:hanging="644"/>
        <w:spacing w:after="0" w:line="259" w:lineRule="exact"/>
        <w:tabs>
          <w:tab w:leader="none" w:pos="100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Nos.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74220, 333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102179, 333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124851, 333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153200, 333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169886, 333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204773, 333-227803, and 333-251334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for the Abbott Laboratories Deferred Compensation Plan;</w:t>
      </w:r>
    </w:p>
    <w:p>
      <w:pPr>
        <w:spacing w:after="0" w:line="157" w:lineRule="exact"/>
        <w:rPr>
          <w:rFonts w:ascii="Times New Roman" w:cs="Times New Roman" w:eastAsia="Times New Roman" w:hAnsi="Times New Roman"/>
          <w:sz w:val="18"/>
          <w:szCs w:val="18"/>
          <w:color w:val="auto"/>
        </w:rPr>
      </w:pPr>
    </w:p>
    <w:p>
      <w:pPr>
        <w:ind w:left="1300" w:hanging="644"/>
        <w:spacing w:after="0" w:line="245" w:lineRule="exact"/>
        <w:tabs>
          <w:tab w:leader="none" w:pos="119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Nos. 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26685, 33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50452, 33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51585, 33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56897, 33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65127, 333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19511, 333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43383, 333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69579, 333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93257, 333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74224, 333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102180, 333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109253, 333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124849, 333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141116, 333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153198, 333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169888, 333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204772, 333-227802 and 333-251335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for the Abbott Laboratories Stock Retirement Program and Trusts;</w:t>
      </w:r>
    </w:p>
    <w:p>
      <w:pPr>
        <w:spacing w:after="0" w:line="19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333-271595 on Form S-3;</w:t>
      </w:r>
    </w:p>
    <w:p>
      <w:pPr>
        <w:spacing w:after="0" w:line="211"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Nos.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212002 and 333-216141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w:t>
      </w:r>
    </w:p>
    <w:p>
      <w:pPr>
        <w:spacing w:after="0" w:line="252" w:lineRule="exact"/>
        <w:rPr>
          <w:rFonts w:ascii="Times New Roman" w:cs="Times New Roman" w:eastAsia="Times New Roman" w:hAnsi="Times New Roman"/>
          <w:sz w:val="18"/>
          <w:szCs w:val="18"/>
          <w:color w:val="auto"/>
        </w:rPr>
      </w:pPr>
    </w:p>
    <w:p>
      <w:pPr>
        <w:ind w:left="1300" w:hanging="644"/>
        <w:spacing w:after="0" w:line="245" w:lineRule="exact"/>
        <w:tabs>
          <w:tab w:leader="none" w:pos="102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Post-Effective Amendment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to Registration Statement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212002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 for the St. Jude Medical, Inc. 2007 Stock Incentive Plan, as Amended and Restated (2014) and the Thoratec Corporation Amended and Restated 2006 Incentive Stock Plan;</w:t>
      </w:r>
    </w:p>
    <w:p>
      <w:pPr>
        <w:spacing w:after="0" w:line="185" w:lineRule="exact"/>
        <w:rPr>
          <w:rFonts w:ascii="Times New Roman" w:cs="Times New Roman" w:eastAsia="Times New Roman" w:hAnsi="Times New Roman"/>
          <w:sz w:val="18"/>
          <w:szCs w:val="18"/>
          <w:color w:val="auto"/>
        </w:rPr>
      </w:pPr>
    </w:p>
    <w:p>
      <w:pPr>
        <w:ind w:left="1300" w:hanging="644"/>
        <w:spacing w:after="0" w:line="245" w:lineRule="exact"/>
        <w:tabs>
          <w:tab w:leader="none" w:pos="103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Nos.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215423 and 333-227804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for the Management Savings Plan (f/k/a the St. Jude Medical, Inc. Management Savings Plan), as amended and restated effective January 1, 2016;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99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333-217540 on Form S-8 for the Abbott Laboratories 2017 Incentive Stock Program and the Abbott Laboratories 2017 Employee Stock Purchase Plan for Non-U.S. Employees</w:t>
      </w:r>
    </w:p>
    <w:p>
      <w:pPr>
        <w:spacing w:after="0" w:line="189"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of our reports dated February 20, 2026, with respect to the consolidated financial statements, the financial statement schedule and the effectiveness of internal control over financial reporting of Abbott Laboratories and subsidiaries included in this Annual Report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Abbott Laboratories and subsidiaries for the year ended December 31, 2025.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rPr>
          <w:sz w:val="20"/>
          <w:szCs w:val="20"/>
          <w:color w:val="auto"/>
        </w:rPr>
      </w:pPr>
      <w:r>
        <w:rPr>
          <w:rFonts w:ascii="Times New Roman" w:cs="Times New Roman" w:eastAsia="Times New Roman" w:hAnsi="Times New Roman"/>
          <w:sz w:val="18"/>
          <w:szCs w:val="18"/>
          <w:color w:val="auto"/>
        </w:rPr>
        <w:t>February 20, 2026</w:t>
      </w:r>
    </w:p>
    <w:p>
      <w:pPr>
        <w:sectPr>
          <w:pgSz w:w="11900" w:h="16838" w:orient="portrait"/>
          <w:cols w:equalWidth="0" w:num="1">
            <w:col w:w="11240"/>
          </w:cols>
          <w:pgMar w:left="320" w:top="1400"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Required by Rule 13a-14(a) (17 CFR 240.13a-14(a))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B. Ford, certify that:</w:t>
      </w:r>
    </w:p>
    <w:p>
      <w:pPr>
        <w:spacing w:after="0" w:line="185"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Abbott Laboratories;</w:t>
      </w:r>
    </w:p>
    <w:p>
      <w:pPr>
        <w:spacing w:after="0" w:line="18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Abbott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Abbott’s other certifying officer and I are responsible for establishing and maintaining disclosure controls and procedures (as defined in Exchange Act Rules 13a-15(e) and 15d-15(e)) and internal control over financial reporting (as defined in Exchange Act Rules 13a-15(f) and 15d-15(f)) for Abbott and have:</w:t>
      </w:r>
    </w:p>
    <w:p>
      <w:pPr>
        <w:spacing w:after="0" w:line="13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Abbott,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Abbott’s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Abbott’s internal control over financial reporting that occurred during Abbott’s most recent fiscal quarter that has materially affected, or is reasonably likely to materially affect, Abbott’s internal control over financial reporting; and</w:t>
      </w:r>
    </w:p>
    <w:p>
      <w:pPr>
        <w:spacing w:after="0" w:line="14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Abbott’s other certifying officer and I have disclosed, based on our most recent evaluation of internal control over financial reporting, to Abbott’s auditors and the audit committee of Abbott’s board of directors:</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5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Abbott’s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5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Abbott’s internal control over financial reporting.</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B.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B. Ford</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20, 2026</w:t>
      </w:r>
    </w:p>
    <w:p>
      <w:pPr>
        <w:sectPr>
          <w:pgSz w:w="11900" w:h="16838" w:orient="portrait"/>
          <w:cols w:equalWidth="0" w:num="1">
            <w:col w:w="11240"/>
          </w:cols>
          <w:pgMar w:left="320" w:top="927"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Required by Rule 13a-14(a) (17 CFR 240.13a-14(a))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P. Boudreau, certify that:</w:t>
      </w:r>
    </w:p>
    <w:p>
      <w:pPr>
        <w:spacing w:after="0" w:line="185"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Abbott Laboratories;</w:t>
      </w:r>
    </w:p>
    <w:p>
      <w:pPr>
        <w:spacing w:after="0" w:line="18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Abbott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Abbott’s other certifying officer and I are responsible for establishing and maintaining disclosure controls and procedures (as defined in Exchange Act Rules 13a-15(e) and 15d-15(e)) and internal control over financial reporting (as defined in Exchange Act Rules 13a-15(f) and 15d-15(f)) for Abbott and have:</w:t>
      </w:r>
    </w:p>
    <w:p>
      <w:pPr>
        <w:spacing w:after="0" w:line="13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Abbott,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Abbott’s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Abbott’s internal control over financial reporting that occurred during Abbott’s most recent fiscal quarter that has materially affected, or is reasonably likely to materially affect, Abbott’s internal control over financial reporting; and</w:t>
      </w:r>
    </w:p>
    <w:p>
      <w:pPr>
        <w:spacing w:after="0" w:line="14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Abbott’s other certifying officer and I have disclosed, based on our most recent evaluation of internal control over financial reporting, to Abbott’s auditors and the audit committee of Abbott’s board of directors:</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5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Abbott’s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5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Abbott’s internal control over financial reporting.</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PHILIP P. BOUDREAU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Philip P. Boudreau</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Finance</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20, 2026</w:t>
      </w:r>
    </w:p>
    <w:p>
      <w:pPr>
        <w:sectPr>
          <w:pgSz w:w="11900" w:h="16838" w:orient="portrait"/>
          <w:cols w:equalWidth="0" w:num="1">
            <w:col w:w="11240"/>
          </w:cols>
          <w:pgMar w:left="320" w:top="927"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Abbott Laboratories (the “Company”) on Form 10-K for the period ended December 31, 2025 as filed with the Securities and Exchange Commission (the “Report”), I, Robert B. Ford, Chairman of the Board and Chief Executive Officer of the Company, certify, pursuant to 18 U.S.C. § 1350, as adopted pursuant to § 906 of the Sarbanes-Oxley Act of 2002, that:</w:t>
      </w:r>
    </w:p>
    <w:p>
      <w:pPr>
        <w:spacing w:after="0" w:line="135"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B.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B. Ford</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20, 2026</w:t>
      </w:r>
    </w:p>
    <w:p>
      <w:pPr>
        <w:spacing w:after="0" w:line="29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Abbott Laboratories and will be retained by Abbott Laboratories and furnished to the Securities and Exchange Commission or its staff upon request.</w:t>
      </w:r>
    </w:p>
    <w:p>
      <w:pPr>
        <w:sectPr>
          <w:pgSz w:w="11900" w:h="16838" w:orient="portrait"/>
          <w:cols w:equalWidth="0" w:num="1">
            <w:col w:w="11240"/>
          </w:cols>
          <w:pgMar w:left="320" w:top="927"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Abbott Laboratories (the “Company”) on Form 10-K for the period ended December 31, 2025 as filed with the Securities and Exchange Commission (the “Report”), I, Philip P. Boudreau, Executive Vice President, Finance and Chief Financial Officer of the Company, certify, pursuant to 18 U.S.C. § 1350, as adopted pursuant to § 906 of the Sarbanes-Oxley Act of 2002, that:</w:t>
      </w:r>
    </w:p>
    <w:p>
      <w:pPr>
        <w:spacing w:after="0" w:line="135"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PHILIP P. BOUDREAU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Philip P. Boudreau</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Finance</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20, 2026</w:t>
      </w:r>
    </w:p>
    <w:p>
      <w:pPr>
        <w:spacing w:after="0" w:line="29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Abbott Laboratories and will be retained by Abbott Laboratories and furnished to the Securities and Exchange Commission or its staff upon request.</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x"/>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decimal"/>
      <w:start w:val="19"/>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lowerLetter"/>
      <w:start w:val="1"/>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lowerLetter"/>
      <w:start w:val="1"/>
    </w:lvl>
  </w:abstractNum>
  <w:abstractNum w:abstractNumId="20">
    <w:nsid w:val="3A95F874"/>
    <w:multiLevelType w:val="hybridMultilevel"/>
    <w:lvl w:ilvl="0">
      <w:lvlJc w:val="left"/>
      <w:lvlText w:val="(%1)"/>
      <w:numFmt w:val="lowerLetter"/>
      <w:start w:val="1"/>
    </w:lvl>
  </w:abstractNum>
  <w:abstractNum w:abstractNumId="21">
    <w:nsid w:val="8138641"/>
    <w:multiLevelType w:val="hybridMultilevel"/>
    <w:lvl w:ilvl="0">
      <w:lvlJc w:val="left"/>
      <w:lvlText w:val="(%1)"/>
      <w:numFmt w:val="lowerLetter"/>
      <w:start w:val="3"/>
    </w:lvl>
  </w:abstractNum>
  <w:abstractNum w:abstractNumId="22">
    <w:nsid w:val="1E7FF521"/>
    <w:multiLevelType w:val="hybridMultilevel"/>
    <w:lvl w:ilvl="0">
      <w:lvlJc w:val="left"/>
      <w:lvlText w:val="(%1)"/>
      <w:numFmt w:val="lowerLetter"/>
      <w:start w:val="5"/>
    </w:lvl>
  </w:abstractNum>
  <w:abstractNum w:abstractNumId="23">
    <w:nsid w:val="7C3DBD3D"/>
    <w:multiLevelType w:val="hybridMultilevel"/>
    <w:lvl w:ilvl="0">
      <w:lvlJc w:val="left"/>
      <w:lvlText w:val="(%1)"/>
      <w:numFmt w:val="lowerLetter"/>
      <w:start w:val="1"/>
    </w:lvl>
  </w:abstractNum>
  <w:abstractNum w:abstractNumId="24">
    <w:nsid w:val="737B8DDC"/>
    <w:multiLevelType w:val="hybridMultilevel"/>
    <w:lvl w:ilvl="0">
      <w:lvlJc w:val="left"/>
      <w:lvlText w:val="(%1)"/>
      <w:numFmt w:val="lowerLetter"/>
      <w:start w:val="1"/>
    </w:lvl>
    <w:lvl w:ilvl="1">
      <w:lvlJc w:val="left"/>
      <w:lvlText w:val="(%2)"/>
      <w:numFmt w:val="decimal"/>
      <w:start w:val="1"/>
    </w:lvl>
  </w:abstractNum>
  <w:abstractNum w:abstractNumId="25">
    <w:nsid w:val="6CEAF087"/>
    <w:multiLevelType w:val="hybridMultilevel"/>
    <w:lvl w:ilvl="0">
      <w:lvlJc w:val="left"/>
      <w:lvlText w:val="%1"/>
      <w:numFmt w:val="lowerLetter"/>
      <w:start w:val="1"/>
    </w:lvl>
    <w:lvl w:ilvl="1">
      <w:lvlJc w:val="left"/>
      <w:lvlText w:val="(%2)"/>
      <w:numFmt w:val="decimal"/>
      <w:start w:val="3"/>
    </w:lvl>
  </w:abstractNum>
  <w:abstractNum w:abstractNumId="26">
    <w:nsid w:val="22221A70"/>
    <w:multiLevelType w:val="hybridMultilevel"/>
    <w:lvl w:ilvl="0">
      <w:lvlJc w:val="left"/>
      <w:lvlText w:val="(%1)"/>
      <w:numFmt w:val="lowerLetter"/>
      <w:start w:val="2"/>
    </w:lvl>
    <w:lvl w:ilvl="1">
      <w:lvlJc w:val="left"/>
      <w:lvlText w:val="%2"/>
      <w:numFmt w:val="decimal"/>
      <w:start w:val="1"/>
    </w:lvl>
  </w:abstractNum>
  <w:abstractNum w:abstractNumId="27">
    <w:nsid w:val="4516DDE9"/>
    <w:multiLevelType w:val="hybridMultilevel"/>
    <w:lvl w:ilvl="0">
      <w:lvlJc w:val="left"/>
      <w:lvlText w:val="%1"/>
      <w:numFmt w:val="decimal"/>
      <w:start w:val="19"/>
    </w:lvl>
  </w:abstractNum>
  <w:abstractNum w:abstractNumId="28">
    <w:nsid w:val="3006C83E"/>
    <w:multiLevelType w:val="hybridMultilevel"/>
    <w:lvl w:ilvl="0">
      <w:lvlJc w:val="left"/>
      <w:lvlText w:val="%1"/>
      <w:numFmt w:val="decimal"/>
      <w:start w:val="97"/>
    </w:lvl>
  </w:abstractNum>
  <w:abstractNum w:abstractNumId="29">
    <w:nsid w:val="614FD4A1"/>
    <w:multiLevelType w:val="hybridMultilevel"/>
    <w:lvl w:ilvl="0">
      <w:lvlJc w:val="left"/>
      <w:lvlText w:val="%1"/>
      <w:numFmt w:val="decimal"/>
      <w:start w:val="101"/>
    </w:lvl>
  </w:abstractNum>
  <w:abstractNum w:abstractNumId="30">
    <w:nsid w:val="419AC241"/>
    <w:multiLevelType w:val="hybridMultilevel"/>
    <w:lvl w:ilvl="0">
      <w:lvlJc w:val="left"/>
      <w:lvlText w:val="%1"/>
      <w:numFmt w:val="decimal"/>
      <w:start w:val="104"/>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6" Type="http://schemas.openxmlformats.org/officeDocument/2006/relationships/image" Target="media/image110.png"/><Relationship Id="rId143" Type="http://schemas.openxmlformats.org/officeDocument/2006/relationships/image" Target="media/image111.png"/><Relationship Id="rId156" Type="http://schemas.openxmlformats.org/officeDocument/2006/relationships/image" Target="media/image112.png"/><Relationship Id="rId175" Type="http://schemas.openxmlformats.org/officeDocument/2006/relationships/image" Target="media/image113.png"/><Relationship Id="rId191" Type="http://schemas.openxmlformats.org/officeDocument/2006/relationships/image" Target="media/image114.png"/><Relationship Id="rId204" Type="http://schemas.openxmlformats.org/officeDocument/2006/relationships/image" Target="media/image115.png"/><Relationship Id="rId206" Type="http://schemas.openxmlformats.org/officeDocument/2006/relationships/image" Target="media/image116.png"/><Relationship Id="rId207" Type="http://schemas.openxmlformats.org/officeDocument/2006/relationships/image" Target="media/image117.png"/><Relationship Id="rId208" Type="http://schemas.openxmlformats.org/officeDocument/2006/relationships/image" Target="media/image118.png"/><Relationship Id="rId209" Type="http://schemas.openxmlformats.org/officeDocument/2006/relationships/image" Target="media/image119.png"/><Relationship Id="rId210" Type="http://schemas.openxmlformats.org/officeDocument/2006/relationships/image" Target="media/image120.png"/><Relationship Id="rId211" Type="http://schemas.openxmlformats.org/officeDocument/2006/relationships/image" Target="media/image121.png"/><Relationship Id="rId212" Type="http://schemas.openxmlformats.org/officeDocument/2006/relationships/image" Target="media/image122.png"/><Relationship Id="rId213" Type="http://schemas.openxmlformats.org/officeDocument/2006/relationships/image" Target="media/image123.png"/><Relationship Id="rId214" Type="http://schemas.openxmlformats.org/officeDocument/2006/relationships/image" Target="media/image124.png"/><Relationship Id="rId215" Type="http://schemas.openxmlformats.org/officeDocument/2006/relationships/image" Target="media/image125.png"/><Relationship Id="rId216" Type="http://schemas.openxmlformats.org/officeDocument/2006/relationships/image" Target="media/image126.png"/><Relationship Id="rId217" Type="http://schemas.openxmlformats.org/officeDocument/2006/relationships/image" Target="media/image127.png"/><Relationship Id="rId218" Type="http://schemas.openxmlformats.org/officeDocument/2006/relationships/image" Target="media/image128.png"/><Relationship Id="rId219" Type="http://schemas.openxmlformats.org/officeDocument/2006/relationships/image" Target="media/image129.png"/><Relationship Id="rId220" Type="http://schemas.openxmlformats.org/officeDocument/2006/relationships/image" Target="media/image130.png"/><Relationship Id="rId221" Type="http://schemas.openxmlformats.org/officeDocument/2006/relationships/image" Target="media/image131.png"/><Relationship Id="rId222" Type="http://schemas.openxmlformats.org/officeDocument/2006/relationships/image" Target="media/image132.png"/><Relationship Id="rId223" Type="http://schemas.openxmlformats.org/officeDocument/2006/relationships/image" Target="media/image133.png"/><Relationship Id="rId224" Type="http://schemas.openxmlformats.org/officeDocument/2006/relationships/image" Target="media/image134.png"/><Relationship Id="rId225" Type="http://schemas.openxmlformats.org/officeDocument/2006/relationships/image" Target="media/image135.png"/><Relationship Id="rId226" Type="http://schemas.openxmlformats.org/officeDocument/2006/relationships/image" Target="media/image136.png"/><Relationship Id="rId227" Type="http://schemas.openxmlformats.org/officeDocument/2006/relationships/image" Target="media/image137.png"/><Relationship Id="rId228" Type="http://schemas.openxmlformats.org/officeDocument/2006/relationships/image" Target="media/image138.png"/><Relationship Id="rId229" Type="http://schemas.openxmlformats.org/officeDocument/2006/relationships/image" Target="media/image139.png"/><Relationship Id="rId117" Type="http://schemas.openxmlformats.org/officeDocument/2006/relationships/hyperlink" Target="https://www.sec.gov/Archives/edgar/data/1800/000110465925114422/tm2531676d2_ex2-1.htm" TargetMode="External"/><Relationship Id="rId118" Type="http://schemas.openxmlformats.org/officeDocument/2006/relationships/hyperlink" Target="https://www.sec.gov/Archives/edgar/data/1800/000110465921054917/tm2114110d1_ex3-1.htm" TargetMode="External"/><Relationship Id="rId119" Type="http://schemas.openxmlformats.org/officeDocument/2006/relationships/hyperlink" Target="https://www.sec.gov/Archives/edgar/data/1800/000110465925120657/tm2533113d1_ex99-1.htm" TargetMode="External"/><Relationship Id="rId120" Type="http://schemas.openxmlformats.org/officeDocument/2006/relationships/hyperlink" Target="https://www.sec.gov/Archives/edgar/data/1800/000091205701004670/a2035277zex-4_1.txt" TargetMode="External"/><Relationship Id="rId121" Type="http://schemas.openxmlformats.org/officeDocument/2006/relationships/hyperlink" Target="https://www.sec.gov/Archives/edgar/data/1800/000104746906002618/a2166915zex-4_2.htm" TargetMode="External"/><Relationship Id="rId122" Type="http://schemas.openxmlformats.org/officeDocument/2006/relationships/hyperlink" Target="https://www.sec.gov/Archives/edgar/data/1800/000110465907081536/a07-28552_1ex99d6.htm" TargetMode="External"/><Relationship Id="rId123" Type="http://schemas.openxmlformats.org/officeDocument/2006/relationships/hyperlink" Target="https://www.sec.gov/Archives/edgar/data/1800/000110465907081536/a07-28552_1ex99d3.htm" TargetMode="External"/><Relationship Id="rId124" Type="http://schemas.openxmlformats.org/officeDocument/2006/relationships/hyperlink" Target="https://www.sec.gov/Archives/edgar/data/1800/000110465909013693/a09-6664_1ex99d5.htm" TargetMode="External"/><Relationship Id="rId125" Type="http://schemas.openxmlformats.org/officeDocument/2006/relationships/hyperlink" Target="https://www.sec.gov/Archives/edgar/data/1800/000110465909013693/a09-6664_1ex99d3.htm" TargetMode="External"/><Relationship Id="rId127" Type="http://schemas.openxmlformats.org/officeDocument/2006/relationships/hyperlink" Target="https://www.sec.gov/Archives/edgar/data/1800/000110465910031026/a10-10959_1ex99d6.htm" TargetMode="External"/><Relationship Id="rId128" Type="http://schemas.openxmlformats.org/officeDocument/2006/relationships/hyperlink" Target="https://www.sec.gov/Archives/edgar/data/1800/000110465910031026/a10-10959_1ex99d3.htm" TargetMode="External"/><Relationship Id="rId129" Type="http://schemas.openxmlformats.org/officeDocument/2006/relationships/hyperlink" Target="https://www.sec.gov/Archives/edgar/data/1800/000110465915018379/a15-4927_5ex4d1.htm" TargetMode="External"/><Relationship Id="rId130" Type="http://schemas.openxmlformats.org/officeDocument/2006/relationships/hyperlink" Target="https://www.sec.gov/Archives/edgar/data/1800/000110465915018379/a15-4927_5ex99d6.htm" TargetMode="External"/><Relationship Id="rId131" Type="http://schemas.openxmlformats.org/officeDocument/2006/relationships/hyperlink" Target="https://www.sec.gov/Archives/edgar/data/1800/000110465915018379/a15-4927_5ex99d3.htm" TargetMode="External"/><Relationship Id="rId132" Type="http://schemas.openxmlformats.org/officeDocument/2006/relationships/hyperlink" Target="https://www.sec.gov/Archives/edgar/data/1800/000110465916158757/a16-21553_4ex4d5.htm" TargetMode="External"/><Relationship Id="rId133" Type="http://schemas.openxmlformats.org/officeDocument/2006/relationships/hyperlink" Target="https://www.sec.gov/Archives/edgar/data/1800/000110465916158757/a16-21553_4ex4d6.htm" TargetMode="External"/><Relationship Id="rId134" Type="http://schemas.openxmlformats.org/officeDocument/2006/relationships/hyperlink" Target="https://www.sec.gov/Archives/edgar/data/1800/000110465916158757/a16-21553_4ex4d7.htm" TargetMode="External"/><Relationship Id="rId135" Type="http://schemas.openxmlformats.org/officeDocument/2006/relationships/hyperlink" Target="https://www.sec.gov/Archives/edgar/data/1800/000104746917000744/a2230875zex-4_22.htm" TargetMode="External"/><Relationship Id="rId136" Type="http://schemas.openxmlformats.org/officeDocument/2006/relationships/hyperlink" Target="https://www.sec.gov/Archives/edgar/data/1800/000110465917018578/a17-4288_6ex4d5.htm" TargetMode="External"/><Relationship Id="rId137" Type="http://schemas.openxmlformats.org/officeDocument/2006/relationships/hyperlink" Target="https://www.sec.gov/Archives/edgar/data/1800/000110465917018578/a17-4288_6ex4d6.htm" TargetMode="External"/><Relationship Id="rId138" Type="http://schemas.openxmlformats.org/officeDocument/2006/relationships/hyperlink" Target="https://www.sec.gov/Archives/edgar/data/1800/000110465917029430/a17-8899_1ex4d7.htm" TargetMode="External"/><Relationship Id="rId139" Type="http://schemas.openxmlformats.org/officeDocument/2006/relationships/hyperlink" Target="https://www.sec.gov/Archives/edgar/data/203077/000089710109001529/stjude093309_ex4-1.htm" TargetMode="External"/><Relationship Id="rId140" Type="http://schemas.openxmlformats.org/officeDocument/2006/relationships/hyperlink" Target="https://www.sec.gov/Archives/edgar/data/203077/000089710113000487/stjude131565_ex4-1.htm" TargetMode="External"/><Relationship Id="rId141" Type="http://schemas.openxmlformats.org/officeDocument/2006/relationships/hyperlink" Target="https://www.sec.gov/Archives/edgar/data/203077/000110465915066686/a15-20118_1ex4d1.htm" TargetMode="External"/><Relationship Id="rId142" Type="http://schemas.openxmlformats.org/officeDocument/2006/relationships/hyperlink" Target="https://www.sec.gov/Archives/edgar/data/203077/000110465917000936/a16-23886_1ex4d1.htm" TargetMode="External"/><Relationship Id="rId144" Type="http://schemas.openxmlformats.org/officeDocument/2006/relationships/hyperlink" Target="https://www.sec.gov/Archives/edgar/data/1800/000104746917000773/a2230913zex-4_3.htm" TargetMode="External"/><Relationship Id="rId145" Type="http://schemas.openxmlformats.org/officeDocument/2006/relationships/hyperlink" Target="https://www.sec.gov/Archives/edgar/data/1800/000110465918059457/a18-36079_1ex4d1.htm" TargetMode="External"/><Relationship Id="rId146" Type="http://schemas.openxmlformats.org/officeDocument/2006/relationships/hyperlink" Target="https://www.sec.gov/Archives/edgar/data/1800/000110465918059457/a18-36079_1ex4d2.htm" TargetMode="External"/><Relationship Id="rId147" Type="http://schemas.openxmlformats.org/officeDocument/2006/relationships/hyperlink" Target="https://www.sec.gov/Archives/edgar/data/1800/000110465919065447/tm1923129d1_ex4-2.htm" TargetMode="External"/><Relationship Id="rId148" Type="http://schemas.openxmlformats.org/officeDocument/2006/relationships/hyperlink" Target="https://www.sec.gov/Archives/edgar/data/1800/000110465918059457/a18-36079_1ex4d2.htm#Exhibit4_2_033809" TargetMode="External"/><Relationship Id="rId149" Type="http://schemas.openxmlformats.org/officeDocument/2006/relationships/hyperlink" Target="https://www.sec.gov/Archives/edgar/data/1800/000110465920076435/tm2022780d5_ex4-2.htm" TargetMode="External"/><Relationship Id="rId150" Type="http://schemas.openxmlformats.org/officeDocument/2006/relationships/hyperlink" Target="https://www.sec.gov/Archives/edgar/data/1800/000110465922025141/abt-20211231xex4d36.htm" TargetMode="External"/><Relationship Id="rId151" Type="http://schemas.openxmlformats.org/officeDocument/2006/relationships/hyperlink" Target="https://www.sec.gov/Archives/edgar/data/1800/000162828025007110/abbottlaboratoriesdeferred.htm" TargetMode="External"/><Relationship Id="rId152" Type="http://schemas.openxmlformats.org/officeDocument/2006/relationships/hyperlink" Target="https://www.sec.gov/Archives/edgar/data/1800/000162828025007110/supplemental401kplankspdec.htm" TargetMode="External"/><Relationship Id="rId153" Type="http://schemas.openxmlformats.org/officeDocument/2006/relationships/hyperlink" Target="https://www.sec.gov/Archives/edgar/data/1800/000104746915001377/a2222655zex-10_4.htm" TargetMode="External"/><Relationship Id="rId154" Type="http://schemas.openxmlformats.org/officeDocument/2006/relationships/hyperlink" Target="https://www.sec.gov/Archives/edgar/data/1800/000162828024005348/exhibit105_1986managementi.htm" TargetMode="External"/><Relationship Id="rId155" Type="http://schemas.openxmlformats.org/officeDocument/2006/relationships/hyperlink" Target="https://www.sec.gov/Archives/edgar/data/1800/000162828024005348/exhibit106_1998performance.htm" TargetMode="External"/><Relationship Id="rId157" Type="http://schemas.openxmlformats.org/officeDocument/2006/relationships/hyperlink" Target="https://www.sec.gov/Archives/edgar/data/1800/000104746913001180/a2212523zex-10_7.htm" TargetMode="External"/><Relationship Id="rId158" Type="http://schemas.openxmlformats.org/officeDocument/2006/relationships/hyperlink" Target="https://www.sec.gov/Archives/edgar/data/1800/000104746915001377/a2222655zex-10_9.htm" TargetMode="External"/><Relationship Id="rId159" Type="http://schemas.openxmlformats.org/officeDocument/2006/relationships/hyperlink" Target="https://www.sec.gov/Archives/edgar/data/1800/000162828024005348/exhibit109_2017incentivest.htm" TargetMode="External"/><Relationship Id="rId160" Type="http://schemas.openxmlformats.org/officeDocument/2006/relationships/hyperlink" Target="https://www.sec.gov/Archives/edgar/data/1800/000162828025021090/exhibit101non-employeedire.htm" TargetMode="External"/><Relationship Id="rId161" Type="http://schemas.openxmlformats.org/officeDocument/2006/relationships/hyperlink" Target="https://www.sec.gov/Archives/edgar/data/1800/000110465909026063/a09-9651_1ex10d3.htm" TargetMode="External"/><Relationship Id="rId162" Type="http://schemas.openxmlformats.org/officeDocument/2006/relationships/hyperlink" Target="https://www.sec.gov/Archives/edgar/data/1800/000110465909026063/a09-9651_1ex10d5.htm" TargetMode="External"/><Relationship Id="rId163" Type="http://schemas.openxmlformats.org/officeDocument/2006/relationships/hyperlink" Target="https://www.sec.gov/Archives/edgar/data/1800/000104746914001176/a2218043zex-10_47.htm" TargetMode="External"/><Relationship Id="rId164" Type="http://schemas.openxmlformats.org/officeDocument/2006/relationships/hyperlink" Target="https://www.sec.gov/Archives/edgar/data/1800/000104746914001176/a2218043zex-10_48.htm" TargetMode="External"/><Relationship Id="rId165" Type="http://schemas.openxmlformats.org/officeDocument/2006/relationships/hyperlink" Target="https://www.sec.gov/Archives/edgar/data/1800/000104746914001176/a2218043zex-10_58.htm" TargetMode="External"/><Relationship Id="rId166" Type="http://schemas.openxmlformats.org/officeDocument/2006/relationships/hyperlink" Target="https://www.sec.gov/Archives/edgar/data/1800/000104746914001176/a2218043zex-10_59.htm" TargetMode="External"/><Relationship Id="rId167" Type="http://schemas.openxmlformats.org/officeDocument/2006/relationships/hyperlink" Target="https://www.sec.gov/Archives/edgar/data/1800/000104746914001176/a2218043zex-10_60.htm" TargetMode="External"/><Relationship Id="rId168" Type="http://schemas.openxmlformats.org/officeDocument/2006/relationships/hyperlink" Target="https://www.sec.gov/Archives/edgar/data/1800/000104746914001176/a2218043zex-10_61.htm" TargetMode="External"/><Relationship Id="rId169" Type="http://schemas.openxmlformats.org/officeDocument/2006/relationships/hyperlink" Target="https://www.sec.gov/Archives/edgar/data/1800/000110465917027924/a17-11466_1ex10d2.htm" TargetMode="External"/><Relationship Id="rId170" Type="http://schemas.openxmlformats.org/officeDocument/2006/relationships/hyperlink" Target="https://www.sec.gov/Archives/edgar/data/1800/000110465917027924/a17-11466_1ex10d3.htm" TargetMode="External"/><Relationship Id="rId171" Type="http://schemas.openxmlformats.org/officeDocument/2006/relationships/hyperlink" Target="https://www.sec.gov/Archives/edgar/data/1800/000110465917027924/a17-11466_1ex10d4.htm" TargetMode="External"/><Relationship Id="rId172" Type="http://schemas.openxmlformats.org/officeDocument/2006/relationships/hyperlink" Target="https://www.sec.gov/Archives/edgar/data/1800/000110465917027924/a17-11466_1ex10d5.htm" TargetMode="External"/><Relationship Id="rId173" Type="http://schemas.openxmlformats.org/officeDocument/2006/relationships/hyperlink" Target="https://www.sec.gov/Archives/edgar/data/1800/000110465917027924/a17-11466_1ex10d8.htm" TargetMode="External"/><Relationship Id="rId174" Type="http://schemas.openxmlformats.org/officeDocument/2006/relationships/hyperlink" Target="https://www.sec.gov/Archives/edgar/data/1800/000110465917027924/a17-11466_1ex10d9.htm" TargetMode="External"/><Relationship Id="rId176" Type="http://schemas.openxmlformats.org/officeDocument/2006/relationships/hyperlink" Target="https://www.sec.gov/Archives/edgar/data/1800/000110465917027924/a17-11466_1ex10d12.htm" TargetMode="External"/><Relationship Id="rId177" Type="http://schemas.openxmlformats.org/officeDocument/2006/relationships/hyperlink" Target="https://www.sec.gov/Archives/edgar/data/1800/000110465917027924/a17-11466_1ex10d13.htm" TargetMode="External"/><Relationship Id="rId178" Type="http://schemas.openxmlformats.org/officeDocument/2006/relationships/hyperlink" Target="https://www.sec.gov/Archives/edgar/data/1800/000110465917027924/a17-11466_1ex10d14.htm" TargetMode="External"/><Relationship Id="rId179" Type="http://schemas.openxmlformats.org/officeDocument/2006/relationships/hyperlink" Target="https://www.sec.gov/Archives/edgar/data/1800/000110465917027924/a17-11466_1ex10d15.htm" TargetMode="External"/><Relationship Id="rId180" Type="http://schemas.openxmlformats.org/officeDocument/2006/relationships/hyperlink" Target="https://www.sec.gov/Archives/edgar/data/1800/000110465917027924/a17-11466_1ex10d18.htm" TargetMode="External"/><Relationship Id="rId181" Type="http://schemas.openxmlformats.org/officeDocument/2006/relationships/hyperlink" Target="https://www.sec.gov/Archives/edgar/data/1800/000110465917027924/a17-11466_1ex10d19.htm" TargetMode="External"/><Relationship Id="rId182" Type="http://schemas.openxmlformats.org/officeDocument/2006/relationships/hyperlink" Target="https://www.sec.gov/Archives/edgar/data/1800/000110465917027924/a17-11466_1ex10d22.htm" TargetMode="External"/><Relationship Id="rId183" Type="http://schemas.openxmlformats.org/officeDocument/2006/relationships/hyperlink" Target="https://www.sec.gov/Archives/edgar/data/1800/000110465917027924/a17-11466_1ex10d23.htm" TargetMode="External"/><Relationship Id="rId184" Type="http://schemas.openxmlformats.org/officeDocument/2006/relationships/hyperlink" Target="https://www.sec.gov/Archives/edgar/data/1800/000110465917027924/a17-11466_1ex10d24.htm" TargetMode="External"/><Relationship Id="rId185" Type="http://schemas.openxmlformats.org/officeDocument/2006/relationships/hyperlink" Target="https://www.sec.gov/Archives/edgar/data/1800/000110465917027924/a17-11466_1ex10d25.htm" TargetMode="External"/><Relationship Id="rId186" Type="http://schemas.openxmlformats.org/officeDocument/2006/relationships/hyperlink" Target="https://www.sec.gov/Archives/edgar/data/1800/000110465917027924/a17-11466_1ex10d26.htm" TargetMode="External"/><Relationship Id="rId187" Type="http://schemas.openxmlformats.org/officeDocument/2006/relationships/hyperlink" Target="https://www.sec.gov/Archives/edgar/data/1800/000110465917027924/a17-11466_1ex10d27.htm" TargetMode="External"/><Relationship Id="rId188" Type="http://schemas.openxmlformats.org/officeDocument/2006/relationships/hyperlink" Target="https://www.sec.gov/Archives/edgar/data/1800/000110465921025751/abt-20201231xex10d56.htm" TargetMode="External"/><Relationship Id="rId189" Type="http://schemas.openxmlformats.org/officeDocument/2006/relationships/hyperlink" Target="https://www.sec.gov/Archives/edgar/data/1800/000110465921025751/abt-20201231xex10d57.htm" TargetMode="External"/><Relationship Id="rId190" Type="http://schemas.openxmlformats.org/officeDocument/2006/relationships/hyperlink" Target="https://www.sec.gov/Archives/edgar/data/1800/000110465921025751/abt-20201231xex10d58.htm" TargetMode="External"/><Relationship Id="rId192" Type="http://schemas.openxmlformats.org/officeDocument/2006/relationships/hyperlink" Target="https://www.sec.gov/Archives/edgar/data/1800/000110465921025751/abt-20201231xex10d59.htm" TargetMode="External"/><Relationship Id="rId193" Type="http://schemas.openxmlformats.org/officeDocument/2006/relationships/hyperlink" Target="https://www.sec.gov/Archives/edgar/data/1800/000110465921025751/abt-20201231xex10d60.htm" TargetMode="External"/><Relationship Id="rId194" Type="http://schemas.openxmlformats.org/officeDocument/2006/relationships/hyperlink" Target="https://www.sec.gov/Archives/edgar/data/1800/000110465921025751/abt-20201231xex10d61.htm" TargetMode="External"/><Relationship Id="rId195" Type="http://schemas.openxmlformats.org/officeDocument/2006/relationships/hyperlink" Target="https://www.sec.gov/Archives/edgar/data/1800/000110465921025751/abt-20201231xex10d62.htm" TargetMode="External"/><Relationship Id="rId196" Type="http://schemas.openxmlformats.org/officeDocument/2006/relationships/hyperlink" Target="https://www.sec.gov/Archives/edgar/data/1800/000110465921025751/abt-20201231xex10d63.htm" TargetMode="External"/><Relationship Id="rId197" Type="http://schemas.openxmlformats.org/officeDocument/2006/relationships/hyperlink" Target="https://www.sec.gov/Archives/edgar/data/1800/000110465912081228/a12-12469_10ex10d1.htm" TargetMode="External"/><Relationship Id="rId198" Type="http://schemas.openxmlformats.org/officeDocument/2006/relationships/hyperlink" Target="https://www.sec.gov/Archives/edgar/data/1800/000162828025007110/exhibit1047-noticeofcicext.htm" TargetMode="External"/><Relationship Id="rId199" Type="http://schemas.openxmlformats.org/officeDocument/2006/relationships/hyperlink" Target="https://www.sec.gov/Archives/edgar/data/1800/000110465921025751/abt-20201231xex10d68.htm" TargetMode="External"/><Relationship Id="rId200" Type="http://schemas.openxmlformats.org/officeDocument/2006/relationships/hyperlink" Target="https://www.sec.gov/Archives/edgar/data/1800/000110465920023904/ex-10d75.htm" TargetMode="External"/><Relationship Id="rId201" Type="http://schemas.openxmlformats.org/officeDocument/2006/relationships/hyperlink" Target="https://www.sec.gov/Archives/edgar/data/1800/000110465921025751/abt-20201231xex10d74.htm" TargetMode="External"/><Relationship Id="rId202" Type="http://schemas.openxmlformats.org/officeDocument/2006/relationships/hyperlink" Target="https://www.sec.gov/Archives/edgar/data/1800/000162828024005348/exhibit1065_2024revolvingc.htm" TargetMode="External"/><Relationship Id="rId203" Type="http://schemas.openxmlformats.org/officeDocument/2006/relationships/hyperlink" Target="https://www.sec.gov/Archives/edgar/data/1800/000162828025007110/exhibit19-abbottlabsinside.htm" TargetMode="External"/><Relationship Id="rId205" Type="http://schemas.openxmlformats.org/officeDocument/2006/relationships/hyperlink" Target="https://www.sec.gov/Archives/edgar/data/1800/000162828024005348/exhibit97_abbottlaborator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2026-02-20T15:18:36Z</dcterms:created>
  <dcterms:modified xsi:type="dcterms:W3CDTF">2026-02-20T15:18:36Z</dcterms:modified>
</cp:coreProperties>
</file>