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917-1_4seq1.xml.htm"/>
      <w:bookmarkStart w:id="1" w:name="kstm2626917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Roman Michael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ABBOTT PARK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ABBOTT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ABBOTT LABORATORIES</w:t>
              </w:r>
            </w:hyperlink>
            <w:r>
              <w:rPr/>
              <w:t xml:space="preserve"> [ </w:t>
            </w:r>
            <w:r>
              <w:rPr>
                <w:rFonts w:ascii="Times;serif" w:hAnsi="Times;serif"/>
                <w:color w:val="0000FF"/>
                <w:sz w:val="24"/>
                <w:shd w:fill="FFFFFF" w:val="clear"/>
              </w:rPr>
              <w:t>ABT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381</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98.83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7,166</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Director fees credited to a stock equivalent unit account and paid, in cash, generally at age 65 or upon retirement from the board. The stock equivalent units earn the same return as if the fees were invested in Abbott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Balance includes stock equivalent units acquired pursuant to a dividend reinvestment feature.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F. Roman by Jessica H. Paik,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7544" TargetMode="External"/><Relationship Id="rId5" Type="http://schemas.openxmlformats.org/officeDocument/2006/relationships/hyperlink" Target="http://www.sec.gov/cgi-bin/browse-edgar?action=getcompany&amp;CIK=00000018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3370</Characters>
  <CharactersWithSpaces>3924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