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6917-3_4seq1.xml.htm"/>
      <w:bookmarkStart w:id="1" w:name="kstm26269173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Conroy Kevin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ABBOTT PARK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ABBOTT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60064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ABBOTT LABORATORIES</w:t>
              </w:r>
            </w:hyperlink>
            <w:r>
              <w:rPr/>
              <w:t xml:space="preserve"> [ </w:t>
            </w:r>
            <w:r>
              <w:rPr>
                <w:rFonts w:ascii="Times;serif" w:hAnsi="Times;serif"/>
                <w:color w:val="0000FF"/>
                <w:sz w:val="24"/>
                <w:shd w:fill="FFFFFF" w:val="clear"/>
              </w:rPr>
              <w:t>ABT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Equivalent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318</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98.83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551</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Director fees credited to a stock equivalent unit account under a grantor trust established by the director and paid, in cash, generally at age 65 or upon retirement from the board. The stock equivalent units earn the same return as if the fees were invested in Abbott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Balance includes stock equivalent units acquired pursuant to a dividend reinvestment feature.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T. Conroy by Jessica H. Paik,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6119" TargetMode="External"/><Relationship Id="rId5" Type="http://schemas.openxmlformats.org/officeDocument/2006/relationships/hyperlink" Target="http://www.sec.gov/cgi-bin/browse-edgar?action=getcompany&amp;CIK=000000180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3407</Characters>
  <CharactersWithSpaces>3969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