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6917-2_4seq1.xml.htm"/>
      <w:bookmarkStart w:id="1" w:name="kstm2626917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Ahuja Nita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ABBOTT PARK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ABBOTT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ABBOTT LABORATORIES</w:t>
              </w:r>
            </w:hyperlink>
            <w:r>
              <w:rPr/>
              <w:t xml:space="preserve"> [ </w:t>
            </w:r>
            <w:r>
              <w:rPr>
                <w:rFonts w:ascii="Times;serif" w:hAnsi="Times;serif"/>
                <w:color w:val="0000FF"/>
                <w:sz w:val="24"/>
                <w:shd w:fill="FFFFFF" w:val="clear"/>
              </w:rPr>
              <w:t>ABT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Equivalent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318</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98.83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771</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Director fees credited to a stock equivalent unit account and paid, in cash, generally at age 65 or upon retirement from the board. The stock equivalent units earn the same return as if the fees were invested in Abbott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Balance includes stock equivalent units acquired pursuant to a dividend reinvestment feature.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Nita Ahuja by Jessica H. Paik,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2715" TargetMode="External"/><Relationship Id="rId5" Type="http://schemas.openxmlformats.org/officeDocument/2006/relationships/hyperlink" Target="http://www.sec.gov/cgi-bin/browse-edgar?action=getcompany&amp;CIK=000000180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3359</Characters>
  <CharactersWithSpaces>3911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