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 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October 21,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ABBOTT LABORATORIES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w:t>
      </w:r>
    </w:p>
    <w:p>
      <w:pPr>
        <w:pStyle w:val="TextBody"/>
        <w:bidi w:val="0"/>
        <w:spacing w:before="200" w:after="283"/>
        <w:jc w:val="center"/>
        <w:rPr/>
      </w:pPr>
      <w:r>
        <w:rPr/>
      </w:r>
    </w:p>
    <w:tbl>
      <w:tblPr>
        <w:tblW w:w="6937" w:type="dxa"/>
        <w:jc w:val="left"/>
        <w:tblInd w:w="0" w:type="dxa"/>
        <w:tblLayout w:type="fixed"/>
        <w:tblCellMar>
          <w:top w:w="28" w:type="dxa"/>
          <w:left w:w="28" w:type="dxa"/>
          <w:bottom w:w="28" w:type="dxa"/>
          <w:right w:w="28" w:type="dxa"/>
        </w:tblCellMar>
      </w:tblPr>
      <w:tblGrid>
        <w:gridCol w:w="835"/>
        <w:gridCol w:w="732"/>
        <w:gridCol w:w="743"/>
        <w:gridCol w:w="109"/>
        <w:gridCol w:w="109"/>
        <w:gridCol w:w="109"/>
        <w:gridCol w:w="762"/>
        <w:gridCol w:w="762"/>
        <w:gridCol w:w="770"/>
        <w:gridCol w:w="109"/>
        <w:gridCol w:w="109"/>
        <w:gridCol w:w="109"/>
        <w:gridCol w:w="490"/>
        <w:gridCol w:w="490"/>
        <w:gridCol w:w="699"/>
      </w:tblGrid>
      <w:tr>
        <w:trPr/>
        <w:tc>
          <w:tcPr>
            <w:tcW w:w="83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1-2189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36-0698440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100 Abbott Park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Abbott Park, Illinois 60064-6400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(224) 667-6100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298" w:type="dxa"/>
        <w:jc w:val="left"/>
        <w:tblInd w:w="0" w:type="dxa"/>
        <w:tblLayout w:type="fixed"/>
        <w:tblCellMar>
          <w:top w:w="28" w:type="dxa"/>
          <w:left w:w="28" w:type="dxa"/>
          <w:bottom w:w="28" w:type="dxa"/>
          <w:right w:w="28" w:type="dxa"/>
        </w:tblCellMar>
      </w:tblPr>
      <w:tblGrid>
        <w:gridCol w:w="1098"/>
        <w:gridCol w:w="960"/>
        <w:gridCol w:w="971"/>
        <w:gridCol w:w="314"/>
        <w:gridCol w:w="314"/>
        <w:gridCol w:w="316"/>
        <w:gridCol w:w="679"/>
        <w:gridCol w:w="679"/>
        <w:gridCol w:w="967"/>
      </w:tblGrid>
      <w:tr>
        <w:trPr/>
        <w:tc>
          <w:tcPr>
            <w:tcW w:w="109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Title of Each Class</w:t>
            </w:r>
          </w:p>
        </w:tc>
        <w:tc>
          <w:tcPr>
            <w:tcW w:w="944" w:type="dxa"/>
            <w:gridSpan w:val="3"/>
            <w:tcBorders>
              <w:top w:val="double" w:sz="8" w:space="0" w:color="000000"/>
              <w:left w:val="single" w:sz="8" w:space="0" w:color="000000"/>
            </w:tcBorders>
            <w:tcMar>
              <w:top w:w="52" w:type="dxa"/>
              <w:bottom w:w="0" w:type="dxa"/>
              <w:right w:w="0" w:type="dxa"/>
            </w:tcMar>
            <w:vAlign w:val="center"/>
          </w:tcPr>
          <w:p>
            <w:pPr>
              <w:pStyle w:val="TableContents"/>
              <w:bidi w:val="0"/>
              <w:spacing w:lineRule="auto" w:line="276" w:before="40" w:after="4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40" w:after="40"/>
              <w:jc w:val="center"/>
              <w:rPr>
                <w:rFonts w:ascii="Times New Roman;serif" w:hAnsi="Times New Roman;serif"/>
                <w:b/>
                <w:color w:val="000000"/>
                <w:sz w:val="20"/>
              </w:rPr>
            </w:pPr>
            <w:r>
              <w:rPr>
                <w:rFonts w:ascii="Times New Roman;serif" w:hAnsi="Times New Roman;serif"/>
                <w:b/>
                <w:color w:val="000000"/>
                <w:sz w:val="20"/>
              </w:rPr>
              <w:t>Symbol(s)</w:t>
            </w:r>
          </w:p>
        </w:tc>
        <w:tc>
          <w:tcPr>
            <w:tcW w:w="2325" w:type="dxa"/>
            <w:gridSpan w:val="3"/>
            <w:tcBorders>
              <w:top w:val="double" w:sz="8" w:space="0" w:color="000000"/>
              <w:left w:val="single" w:sz="8" w:space="0" w:color="000000"/>
            </w:tcBorders>
            <w:tcMar>
              <w:top w:w="52" w:type="dxa"/>
              <w:bottom w:w="0" w:type="dxa"/>
              <w:right w:w="0" w:type="dxa"/>
            </w:tcMar>
            <w:vAlign w:val="center"/>
          </w:tcPr>
          <w:p>
            <w:pPr>
              <w:pStyle w:val="TableContents"/>
              <w:bidi w:val="0"/>
              <w:spacing w:lineRule="auto" w:line="276" w:before="40" w:after="4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76" w:before="40" w:after="4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02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Without Par Value</w:t>
            </w:r>
          </w:p>
        </w:tc>
        <w:tc>
          <w:tcPr>
            <w:tcW w:w="944" w:type="dxa"/>
            <w:gridSpan w:val="3"/>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ABT</w:t>
            </w:r>
          </w:p>
        </w:tc>
        <w:tc>
          <w:tcPr>
            <w:tcW w:w="2325" w:type="dxa"/>
            <w:gridSpan w:val="3"/>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p>
            <w:pPr>
              <w:pStyle w:val="TableContents"/>
              <w:bidi w:val="0"/>
              <w:spacing w:lineRule="auto" w:line="276" w:before="40" w:after="40"/>
              <w:jc w:val="left"/>
              <w:rPr>
                <w:rFonts w:ascii="Times New Roman;serif" w:hAnsi="Times New Roman;serif"/>
                <w:b w:val="false"/>
                <w:color w:val="000000"/>
                <w:sz w:val="20"/>
              </w:rPr>
            </w:pPr>
            <w:r>
              <w:rPr>
                <w:rFonts w:ascii="Times New Roman;serif" w:hAnsi="Times New Roman;serif"/>
                <w:b w:val="false"/>
                <w:color w:val="000000"/>
                <w:sz w:val="20"/>
              </w:rPr>
              <w:t>NYSE Texas</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ind w:left="0" w:right="0" w:hanging="7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On October 21, 2026, </w:t>
      </w:r>
      <w:r>
        <w:rPr>
          <w:rFonts w:ascii="Times New Roman;serif" w:hAnsi="Times New Roman;serif"/>
          <w:b w:val="false"/>
          <w:color w:val="000000"/>
          <w:sz w:val="20"/>
        </w:rPr>
        <w:t>Abbott Laboratories announced its results of operations for the third quarter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Furnished as Exhibit 99.1, and incorporated herein by reference, is the news release issued by Abbott announcing those results. In that news release, Abbott uses various non-GAAP financial measures including, among others, net earnings excluding specified items. These non-GAAP financial measures adjust for factors that are unusual or unpredictable, such as expenses primarily associated with acquisitions, legal settlements, stock-based compensation recognized as expense from equity awards accelerated in connection with an acquisition, restructuring actions, certain regulatory costs, adjustments related to prior recognition of a significant non-cash deferred tax benefit, tax benefits associated with specified items, net tax expense as a result of the resolution of various tax positions related to prior years, and excess tax benefits associated with share-based compensation. These non-GAAP financial measures also exclude intangible amortization expense to provide greater visibility on the results of operations excluding these costs, similar to how Abbott’s management internally assesses performance. Abbott’s management believes the presentation of these non-GAAP financial measures provides useful information to investors regarding Abbott’s results of operations as these non-GAAP financial measures allow investors to better evaluate ongoing business performance. Abbott’s management also uses these non-GAAP financial measures internally to monitor performance of the businesses. Abbott, however, cautions investors to consider these non-GAAP financial measures in addition to, and not as a substitute for, financial measures prepared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1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553"/>
        <w:gridCol w:w="2553"/>
        <w:gridCol w:w="3638"/>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abt-2026q3xexhibit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bt-2026q3xexhibitx991.htm">
              <w:r>
                <w:rPr>
                  <w:rStyle w:val="InternetLink"/>
                  <w:rFonts w:ascii="Times New Roman;serif" w:hAnsi="Times New Roman;serif"/>
                  <w:b w:val="false"/>
                  <w:color w:val="0000FF"/>
                  <w:sz w:val="20"/>
                  <w:u w:val="single"/>
                </w:rPr>
                <w:t xml:space="preserve">Press Release dated October 21, 2026 (furnished pursuant to Item 2.02). </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386" w:type="dxa"/>
        <w:jc w:val="left"/>
        <w:tblInd w:w="0" w:type="dxa"/>
        <w:tblLayout w:type="fixed"/>
        <w:tblCellMar>
          <w:top w:w="28" w:type="dxa"/>
          <w:left w:w="28" w:type="dxa"/>
          <w:bottom w:w="28" w:type="dxa"/>
          <w:right w:w="28" w:type="dxa"/>
        </w:tblCellMar>
      </w:tblPr>
      <w:tblGrid>
        <w:gridCol w:w="726"/>
        <w:gridCol w:w="640"/>
        <w:gridCol w:w="643"/>
        <w:gridCol w:w="401"/>
        <w:gridCol w:w="401"/>
        <w:gridCol w:w="401"/>
        <w:gridCol w:w="1507"/>
        <w:gridCol w:w="1507"/>
        <w:gridCol w:w="216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ABBOTT LABORATORIES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12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P. Boudreau</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Philip P. Boudreau</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Finance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826" w:type="dxa"/>
        <w:jc w:val="right"/>
        <w:tblInd w:w="0" w:type="dxa"/>
        <w:tblLayout w:type="fixed"/>
        <w:tblCellMar>
          <w:top w:w="28" w:type="dxa"/>
          <w:left w:w="28" w:type="dxa"/>
          <w:bottom w:w="28" w:type="dxa"/>
          <w:right w:w="28" w:type="dxa"/>
        </w:tblCellMar>
      </w:tblPr>
      <w:tblGrid>
        <w:gridCol w:w="1812"/>
        <w:gridCol w:w="1589"/>
        <w:gridCol w:w="1590"/>
        <w:gridCol w:w="826"/>
        <w:gridCol w:w="826"/>
        <w:gridCol w:w="1183"/>
      </w:tblGrid>
      <w:tr>
        <w:trPr/>
        <w:tc>
          <w:tcPr>
            <w:tcW w:w="1812"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782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75"/>
                <w:sz w:val="20"/>
              </w:rPr>
            </w:pPr>
            <w:r>
              <w:rPr>
                <w:rFonts w:ascii="Wallace Serif;sans-serif" w:hAnsi="Wallace Serif;sans-serif"/>
                <w:b w:val="false"/>
                <w:color w:val="000075"/>
                <w:sz w:val="20"/>
              </w:rPr>
              <w:t>Exhibit 99.1</w:t>
            </w:r>
          </w:p>
        </w:tc>
      </w:tr>
      <w:tr>
        <w:trPr/>
        <w:tc>
          <w:tcPr>
            <w:tcW w:w="499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310515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105150" cy="504825"/>
                          </a:xfrm>
                          <a:prstGeom prst="rect">
                            <a:avLst/>
                          </a:prstGeom>
                        </pic:spPr>
                      </pic:pic>
                    </a:graphicData>
                  </a:graphic>
                </wp:inline>
              </w:drawing>
            </w:r>
          </w:p>
        </w:tc>
        <w:tc>
          <w:tcPr>
            <w:tcW w:w="283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color w:val="000075"/>
              </w:rPr>
              <w:t>  </w:t>
            </w:r>
            <w:r>
              <w:rPr>
                <w:rFonts w:ascii="Wallace Serif;sans-serif" w:hAnsi="Wallace Serif;sans-serif"/>
                <w:b w:val="false"/>
                <w:color w:val="000075"/>
                <w:sz w:val="36"/>
              </w:rPr>
              <w:t>News Release</w:t>
            </w:r>
          </w:p>
        </w:tc>
      </w:tr>
    </w:tbl>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36"/>
        </w:rPr>
      </w:pPr>
      <w:r>
        <w:rPr>
          <w:rFonts w:ascii="Wallace Serif;sans-serif" w:hAnsi="Wallace Serif;sans-serif"/>
          <w:b w:val="false"/>
          <w:color w:val="000000"/>
          <w:sz w:val="36"/>
        </w:rPr>
        <w:t>Abbott Reports Third-Quarter 2026 Results and Reaffirms Full-Year EPS Guidance</w:t>
      </w:r>
    </w:p>
    <w:p>
      <w:pPr>
        <w:pStyle w:val="TextBody"/>
        <w:bidi w:val="0"/>
        <w:spacing w:before="0" w:after="0"/>
        <w:jc w:val="left"/>
        <w:rPr/>
      </w:pPr>
      <w:r>
        <w:rPr/>
      </w:r>
    </w:p>
    <w:p>
      <w:pPr>
        <w:pStyle w:val="TextBody"/>
        <w:bidi w:val="0"/>
        <w:spacing w:lineRule="auto" w:line="288" w:before="20" w:after="60"/>
        <w:ind w:left="0" w:right="0" w:hanging="360"/>
        <w:jc w:val="left"/>
        <w:rPr/>
      </w:pPr>
      <w:r>
        <w:rPr>
          <w:color w:val="000000"/>
        </w:rPr>
        <w:t>–</w:t>
      </w:r>
      <w:r>
        <w:rPr>
          <w:rFonts w:ascii="Wallace Serif;sans-serif" w:hAnsi="Wallace Serif;sans-serif"/>
          <w:b w:val="false"/>
          <w:color w:val="000000"/>
          <w:sz w:val="22"/>
        </w:rPr>
        <w:t xml:space="preserve">Third-quarter reported sales growth of 14.5 percent; comparable sales growth of 7.0 percent </w:t>
      </w:r>
    </w:p>
    <w:p>
      <w:pPr>
        <w:pStyle w:val="TextBody"/>
        <w:bidi w:val="0"/>
        <w:spacing w:lineRule="auto" w:line="288" w:before="20" w:after="60"/>
        <w:ind w:left="0" w:right="0" w:hanging="360"/>
        <w:jc w:val="left"/>
        <w:rPr/>
      </w:pPr>
      <w:r>
        <w:rPr>
          <w:color w:val="000000"/>
        </w:rPr>
        <w:t>–</w:t>
      </w:r>
      <w:r>
        <w:rPr>
          <w:rFonts w:ascii="Wallace Serif;sans-serif" w:hAnsi="Wallace Serif;sans-serif"/>
          <w:b w:val="false"/>
          <w:color w:val="000000"/>
          <w:sz w:val="22"/>
        </w:rPr>
        <w:t xml:space="preserve">Third-quarter GAAP diluted EPS of $0.53; adjusted diluted EPS of $1.42 </w:t>
      </w:r>
    </w:p>
    <w:p>
      <w:pPr>
        <w:pStyle w:val="TextBody"/>
        <w:bidi w:val="0"/>
        <w:spacing w:lineRule="auto" w:line="288" w:before="20" w:after="60"/>
        <w:ind w:left="0" w:right="0" w:hanging="360"/>
        <w:jc w:val="left"/>
        <w:rPr/>
      </w:pPr>
      <w:r>
        <w:rPr>
          <w:color w:val="000000"/>
        </w:rPr>
        <w:t>–</w:t>
      </w:r>
      <w:r>
        <w:rPr>
          <w:rFonts w:ascii="Wallace Serif;sans-serif" w:hAnsi="Wallace Serif;sans-serif"/>
          <w:b w:val="false"/>
          <w:color w:val="000000"/>
          <w:sz w:val="22"/>
        </w:rPr>
        <w:t>Expands portfolio with key new product approvals</w:t>
      </w:r>
    </w:p>
    <w:p>
      <w:pPr>
        <w:pStyle w:val="TextBody"/>
        <w:bidi w:val="0"/>
        <w:spacing w:before="20" w:after="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Wallace Serif;sans-serif" w:hAnsi="Wallace Serif;sans-serif"/>
          <w:b w:val="false"/>
          <w:color w:val="000000"/>
          <w:sz w:val="22"/>
        </w:rPr>
      </w:pPr>
      <w:r>
        <w:rPr>
          <w:rFonts w:ascii="Wallace Serif;sans-serif" w:hAnsi="Wallace Serif;sans-serif"/>
          <w:b w:val="false"/>
          <w:color w:val="000000"/>
          <w:sz w:val="22"/>
        </w:rPr>
        <w:t>ABBOTT PARK, Ill., Oct. 21, 2026 — Abbott today announced financial results for the third quarter ended Sept. 30, 2026.</w:t>
      </w:r>
    </w:p>
    <w:p>
      <w:pPr>
        <w:pStyle w:val="TextBody"/>
        <w:bidi w:val="0"/>
        <w:spacing w:before="0" w:after="0"/>
        <w:jc w:val="left"/>
        <w:rPr/>
      </w:pPr>
      <w:r>
        <w:rPr/>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Third-quarter sales increased 14.5 percent on a reported basis and 7.0 percent on a comparable basis.</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Third-quarter GAAP diluted EPS of $0.53 and adjusted diluted EPS of $1.42, which excludes specified items.</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Abbott projects full-year 2026 comparable sales growth to be approximately 6.0 percent</w:t>
      </w:r>
      <w:r>
        <w:rPr>
          <w:rFonts w:ascii="Wallace Serif;sans-serif" w:hAnsi="Wallace Serif;sans-serif"/>
          <w:b w:val="false"/>
          <w:color w:val="000000"/>
          <w:sz w:val="14"/>
        </w:rPr>
        <w:t>1</w:t>
      </w:r>
      <w:r>
        <w:rPr>
          <w:rFonts w:ascii="Wallace Serif;sans-serif" w:hAnsi="Wallace Serif;sans-serif"/>
          <w:b w:val="false"/>
          <w:color w:val="000000"/>
          <w:sz w:val="22"/>
        </w:rPr>
        <w:t>.</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 xml:space="preserve">Abbott reaffirms the midpoint of previously provided full-year 2026 adjusted diluted EPS guidance range and tightens the range to $5.50 to $5.55. </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In August, Abbott announced U.S. Food and Drug Administration (FDA) approval for Libre® Duo, the world's first dual glucose-ketone biowearable sensor. By providing real-time visibility into glucose and ketone levels, this new technology helps optimize the management of diabetes by detecting rising ketone levels, which can lead to diabetic ketoacidosis, a serious health condition for people with diabetes.</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In August, Abbott announced that the company received CE Mark for its Amulet 360™ Left Atrial Appendage (LAA) Occluder, a next-generation device designed to reduce the risk of stroke in patients with atrial fibrillation (AFib).</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In August, Abbott announced the launch of Similac® 360 Total Care® Made With Whole Milk — the first and only commercially sterile, ready-to-feed liquid infant formula made with whole milk in the United States.</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In September, Abbott announced FDA approval for its TactiFlex™ Duo Ablation Catheter, Sensor Enabled™, designed to deliver both pulsed field ablation (PFA) and radiofrequency (RF) energy to treat patients battling atrial fibrillation.</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In September, Abbott launched SimpleScreen™ CRC, an FDA-approved, blood-based colorectal cancer screening test for adults age 45 and older who are at average risk for the disease.</w:t>
      </w:r>
    </w:p>
    <w:p>
      <w:pPr>
        <w:pStyle w:val="TextBody"/>
        <w:bidi w:val="0"/>
        <w:spacing w:before="20" w:after="283"/>
        <w:jc w:val="left"/>
        <w:rPr/>
      </w:pPr>
      <w:r>
        <w:rPr/>
      </w:r>
    </w:p>
    <w:p>
      <w:pPr>
        <w:pStyle w:val="TextBody"/>
        <w:bidi w:val="0"/>
        <w:spacing w:before="20" w:after="283"/>
        <w:jc w:val="left"/>
        <w:rPr/>
      </w:pPr>
      <w:r>
        <w:rPr/>
      </w:r>
    </w:p>
    <w:p>
      <w:pPr>
        <w:pStyle w:val="TextBody"/>
        <w:bidi w:val="0"/>
        <w:spacing w:lineRule="auto" w:line="288" w:before="20" w:after="283"/>
        <w:jc w:val="left"/>
        <w:rPr>
          <w:rFonts w:ascii="Wallace Serif;sans-serif" w:hAnsi="Wallace Serif;sans-serif"/>
          <w:b w:val="false"/>
          <w:color w:val="000000"/>
          <w:sz w:val="22"/>
        </w:rPr>
      </w:pPr>
      <w:r>
        <w:rPr>
          <w:rFonts w:ascii="Wallace Serif;sans-serif" w:hAnsi="Wallace Serif;sans-serif"/>
          <w:b w:val="false"/>
          <w:color w:val="000000"/>
          <w:sz w:val="22"/>
        </w:rPr>
        <w:t>"Abbott delivered strong third-quarter results, reflecting balanced growth across our portfolio," said Robert B. Ford, chairman and chief executive officer, Abbott. "With strong performance across multiple businesses and a robust pipeline of innovation, we are well-positioned to deliver sustainable growth in the years ahead."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04850"/>
                <wp:effectExtent l="0" t="0" r="0" b="0"/>
                <wp:wrapNone/>
                <wp:docPr id="5" name="Frame4"/>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p>
                            <w:pPr>
                              <w:pStyle w:val="TextBody"/>
                              <w:bidi w:val="0"/>
                              <w:spacing w:lineRule="auto" w:line="288" w:before="240" w:after="283"/>
                              <w:jc w:val="center"/>
                              <w:rPr>
                                <w:color w:val="BF2115"/>
                              </w:rPr>
                            </w:pPr>
                            <w:r>
                              <w:rPr>
                                <w:color w:val="BF2115"/>
                              </w:rPr>
                              <w:t> </w:t>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 of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83"/>
                        <w:jc w:val="center"/>
                        <w:rPr>
                          <w:color w:val="BF2115"/>
                        </w:rPr>
                      </w:pPr>
                      <w:r>
                        <w:rPr>
                          <w:color w:val="BF2115"/>
                        </w:rPr>
                        <w:t> </w:t>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 of 21</w:t>
                      </w:r>
                    </w:p>
                  </w:txbxContent>
                </v:textbox>
                <w10:wrap type="none"/>
              </v:rect>
            </w:pict>
          </mc:Fallback>
        </mc:AlternateContent>
      </w:r>
    </w:p>
    <w:p>
      <w:pPr>
        <w:pStyle w:val="TextBody"/>
        <w:bidi w:val="0"/>
        <w:spacing w:lineRule="auto" w:line="288" w:before="0" w:after="0"/>
        <w:jc w:val="left"/>
        <w:rPr>
          <w:rFonts w:ascii="Wallace Serif;sans-serif" w:hAnsi="Wallace Serif;sans-serif"/>
          <w:b/>
          <w:color w:val="000000"/>
          <w:sz w:val="22"/>
        </w:rPr>
      </w:pPr>
      <w:r>
        <w:rPr>
          <w:rFonts w:ascii="Wallace Serif;sans-serif" w:hAnsi="Wallace Serif;sans-serif"/>
          <w:b/>
          <w:color w:val="000000"/>
          <w:sz w:val="22"/>
        </w:rPr>
        <w:t>THIRD-QUARTER BUSINESS OVERVIEW</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i/>
          <w:color w:val="000000"/>
          <w:sz w:val="18"/>
          <w:u w:val="single"/>
        </w:rPr>
      </w:pPr>
      <w:r>
        <w:rPr>
          <w:rFonts w:ascii="Wallace Serif;sans-serif" w:hAnsi="Wallace Serif;sans-serif"/>
          <w:b/>
          <w:i/>
          <w:color w:val="000000"/>
          <w:sz w:val="18"/>
          <w:u w:val="single"/>
        </w:rPr>
        <w:t>Comparable sales growth:</w:t>
      </w:r>
    </w:p>
    <w:p>
      <w:pPr>
        <w:pStyle w:val="TextBody"/>
        <w:bidi w:val="0"/>
        <w:spacing w:lineRule="auto" w:line="288" w:before="0" w:after="0"/>
        <w:jc w:val="left"/>
        <w:rPr>
          <w:rFonts w:ascii="Wallace Serif;sans-serif" w:hAnsi="Wallace Serif;sans-serif"/>
          <w:b w:val="false"/>
          <w:i/>
          <w:color w:val="000000"/>
          <w:sz w:val="18"/>
        </w:rPr>
      </w:pPr>
      <w:r>
        <w:rPr>
          <w:rFonts w:ascii="Wallace Serif;sans-serif" w:hAnsi="Wallace Serif;sans-serif"/>
          <w:b w:val="false"/>
          <w:i/>
          <w:color w:val="000000"/>
          <w:sz w:val="18"/>
        </w:rPr>
        <w:t>Management believes that measuring sales growth on a comparable basis is an appropriate way for investors to best understand the underlying performance of the business. Comparable sales growth includes the prior and current year sales of Exact Sciences, a cancer diagnostics company that Abbott acquired on March 23, 2026. Comparable sales growth excludes the impact of foreign exchange and revenue in both the prior and current year related to compensation payments that Abbott's Structural Heart business received as part of a multi-year agreement with a competitor. The final payment under this agreement was recognized in the first quarter of 2026.</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i/>
          <w:color w:val="000000"/>
          <w:sz w:val="18"/>
        </w:rPr>
      </w:pPr>
      <w:r>
        <w:rPr>
          <w:rFonts w:ascii="Wallace Serif;sans-serif" w:hAnsi="Wallace Serif;sans-serif"/>
          <w:b w:val="false"/>
          <w:i/>
          <w:color w:val="000000"/>
          <w:sz w:val="18"/>
        </w:rPr>
        <w:t xml:space="preserve">Note: 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 </w:t>
      </w:r>
    </w:p>
    <w:p>
      <w:pPr>
        <w:pStyle w:val="TextBody"/>
        <w:bidi w:val="0"/>
        <w:spacing w:before="0" w:after="0"/>
        <w:jc w:val="left"/>
        <w:rPr/>
      </w:pPr>
      <w:r>
        <w:rPr/>
      </w:r>
    </w:p>
    <w:p>
      <w:pPr>
        <w:pStyle w:val="TextBody"/>
        <w:bidi w:val="0"/>
        <w:spacing w:lineRule="auto" w:line="276"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Third Quarter 2026 Results (3Q26)</w:t>
      </w:r>
    </w:p>
    <w:tbl>
      <w:tblPr>
        <w:tblW w:w="10205" w:type="dxa"/>
        <w:jc w:val="left"/>
        <w:tblInd w:w="0" w:type="dxa"/>
        <w:tblLayout w:type="fixed"/>
        <w:tblCellMar>
          <w:top w:w="28" w:type="dxa"/>
          <w:left w:w="28" w:type="dxa"/>
          <w:bottom w:w="28" w:type="dxa"/>
          <w:right w:w="28" w:type="dxa"/>
        </w:tblCellMar>
      </w:tblPr>
      <w:tblGrid>
        <w:gridCol w:w="763"/>
        <w:gridCol w:w="614"/>
        <w:gridCol w:w="617"/>
        <w:gridCol w:w="432"/>
        <w:gridCol w:w="421"/>
        <w:gridCol w:w="423"/>
        <w:gridCol w:w="109"/>
        <w:gridCol w:w="109"/>
        <w:gridCol w:w="109"/>
        <w:gridCol w:w="285"/>
        <w:gridCol w:w="285"/>
        <w:gridCol w:w="286"/>
        <w:gridCol w:w="109"/>
        <w:gridCol w:w="109"/>
        <w:gridCol w:w="109"/>
        <w:gridCol w:w="360"/>
        <w:gridCol w:w="360"/>
        <w:gridCol w:w="361"/>
        <w:gridCol w:w="109"/>
        <w:gridCol w:w="109"/>
        <w:gridCol w:w="109"/>
        <w:gridCol w:w="769"/>
        <w:gridCol w:w="769"/>
        <w:gridCol w:w="771"/>
        <w:gridCol w:w="109"/>
        <w:gridCol w:w="109"/>
        <w:gridCol w:w="109"/>
        <w:gridCol w:w="413"/>
        <w:gridCol w:w="396"/>
        <w:gridCol w:w="572"/>
      </w:tblGrid>
      <w:tr>
        <w:trPr/>
        <w:tc>
          <w:tcPr>
            <w:tcW w:w="7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3Q26 ($ in millions)</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Diagnostics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Established Pharmaceuticals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Medical Devices</w:t>
            </w:r>
          </w:p>
        </w:tc>
      </w:tr>
      <w:tr>
        <w:trPr/>
        <w:tc>
          <w:tcPr>
            <w:tcW w:w="1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5,504 </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958 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1,853 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2,687 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7,509 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1,452 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1,614 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3,139 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13,013 </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2,262 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3,305 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1,614 </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5,826 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83" w:type="dxa"/>
        <w:jc w:val="left"/>
        <w:tblInd w:w="0" w:type="dxa"/>
        <w:tblLayout w:type="fixed"/>
        <w:tblCellMar>
          <w:top w:w="28" w:type="dxa"/>
          <w:left w:w="28" w:type="dxa"/>
          <w:bottom w:w="28" w:type="dxa"/>
          <w:right w:w="28" w:type="dxa"/>
        </w:tblCellMar>
      </w:tblPr>
      <w:tblGrid>
        <w:gridCol w:w="1242"/>
        <w:gridCol w:w="1092"/>
        <w:gridCol w:w="1100"/>
        <w:gridCol w:w="233"/>
        <w:gridCol w:w="233"/>
        <w:gridCol w:w="109"/>
        <w:gridCol w:w="109"/>
        <w:gridCol w:w="109"/>
        <w:gridCol w:w="109"/>
        <w:gridCol w:w="188"/>
        <w:gridCol w:w="188"/>
        <w:gridCol w:w="109"/>
        <w:gridCol w:w="109"/>
        <w:gridCol w:w="109"/>
        <w:gridCol w:w="109"/>
        <w:gridCol w:w="278"/>
        <w:gridCol w:w="278"/>
        <w:gridCol w:w="109"/>
        <w:gridCol w:w="109"/>
        <w:gridCol w:w="109"/>
        <w:gridCol w:w="109"/>
        <w:gridCol w:w="188"/>
        <w:gridCol w:w="188"/>
        <w:gridCol w:w="110"/>
        <w:gridCol w:w="109"/>
        <w:gridCol w:w="109"/>
        <w:gridCol w:w="109"/>
        <w:gridCol w:w="188"/>
        <w:gridCol w:w="188"/>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5"/>
              </w:rPr>
            </w:pPr>
            <w:r>
              <w:rPr>
                <w:rFonts w:ascii="Wallace Serif;sans-serif" w:hAnsi="Wallace Serif;sans-serif"/>
                <w:b/>
                <w:color w:val="000000"/>
                <w:sz w:val="15"/>
              </w:rPr>
              <w:t>% Change vs. 3Q25</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First Nine Months 2026 Results (9M26)</w:t>
      </w:r>
    </w:p>
    <w:tbl>
      <w:tblPr>
        <w:tblW w:w="10205" w:type="dxa"/>
        <w:jc w:val="left"/>
        <w:tblInd w:w="0" w:type="dxa"/>
        <w:tblLayout w:type="fixed"/>
        <w:tblCellMar>
          <w:top w:w="28" w:type="dxa"/>
          <w:left w:w="28" w:type="dxa"/>
          <w:bottom w:w="28" w:type="dxa"/>
          <w:right w:w="28" w:type="dxa"/>
        </w:tblCellMar>
      </w:tblPr>
      <w:tblGrid>
        <w:gridCol w:w="766"/>
        <w:gridCol w:w="613"/>
        <w:gridCol w:w="616"/>
        <w:gridCol w:w="431"/>
        <w:gridCol w:w="419"/>
        <w:gridCol w:w="421"/>
        <w:gridCol w:w="109"/>
        <w:gridCol w:w="109"/>
        <w:gridCol w:w="109"/>
        <w:gridCol w:w="285"/>
        <w:gridCol w:w="285"/>
        <w:gridCol w:w="286"/>
        <w:gridCol w:w="109"/>
        <w:gridCol w:w="109"/>
        <w:gridCol w:w="109"/>
        <w:gridCol w:w="360"/>
        <w:gridCol w:w="360"/>
        <w:gridCol w:w="361"/>
        <w:gridCol w:w="109"/>
        <w:gridCol w:w="109"/>
        <w:gridCol w:w="109"/>
        <w:gridCol w:w="766"/>
        <w:gridCol w:w="766"/>
        <w:gridCol w:w="768"/>
        <w:gridCol w:w="109"/>
        <w:gridCol w:w="109"/>
        <w:gridCol w:w="109"/>
        <w:gridCol w:w="431"/>
        <w:gridCol w:w="394"/>
        <w:gridCol w:w="569"/>
      </w:tblGrid>
      <w:tr>
        <w:trPr/>
        <w:tc>
          <w:tcPr>
            <w:tcW w:w="76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9M26 ($ in millions)</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Diagnostics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Established Pharmaceuticals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Medical Devices</w:t>
            </w:r>
          </w:p>
        </w:tc>
      </w:tr>
      <w:tr>
        <w:trPr/>
        <w:tc>
          <w:tcPr>
            <w:tcW w:w="19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14,994 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2,673 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4,418 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7,890 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21,776 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3,750 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4,159 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4,539 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9,328 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36,770 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6,423 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8,577 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4,539 </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17,218 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57" w:type="dxa"/>
        <w:jc w:val="left"/>
        <w:tblInd w:w="0" w:type="dxa"/>
        <w:tblLayout w:type="fixed"/>
        <w:tblCellMar>
          <w:top w:w="28" w:type="dxa"/>
          <w:left w:w="28" w:type="dxa"/>
          <w:bottom w:w="28" w:type="dxa"/>
          <w:right w:w="28" w:type="dxa"/>
        </w:tblCellMar>
      </w:tblPr>
      <w:tblGrid>
        <w:gridCol w:w="1241"/>
        <w:gridCol w:w="1093"/>
        <w:gridCol w:w="1100"/>
        <w:gridCol w:w="233"/>
        <w:gridCol w:w="233"/>
        <w:gridCol w:w="109"/>
        <w:gridCol w:w="109"/>
        <w:gridCol w:w="109"/>
        <w:gridCol w:w="109"/>
        <w:gridCol w:w="224"/>
        <w:gridCol w:w="226"/>
        <w:gridCol w:w="109"/>
        <w:gridCol w:w="109"/>
        <w:gridCol w:w="109"/>
        <w:gridCol w:w="109"/>
        <w:gridCol w:w="233"/>
        <w:gridCol w:w="233"/>
        <w:gridCol w:w="109"/>
        <w:gridCol w:w="109"/>
        <w:gridCol w:w="109"/>
        <w:gridCol w:w="109"/>
        <w:gridCol w:w="188"/>
        <w:gridCol w:w="188"/>
        <w:gridCol w:w="110"/>
        <w:gridCol w:w="109"/>
        <w:gridCol w:w="109"/>
        <w:gridCol w:w="109"/>
        <w:gridCol w:w="233"/>
        <w:gridCol w:w="233"/>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 Change vs. 9M25</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16"/>
        </w:rPr>
      </w:pPr>
      <w:r>
        <w:rPr>
          <w:rFonts w:ascii="Wallace Serif;sans-serif" w:hAnsi="Wallace Serif;sans-serif"/>
          <w:b w:val="false"/>
          <w:color w:val="000000"/>
          <w:sz w:val="16"/>
        </w:rPr>
        <w:t>Refer to pages 16 and 17 for a reconciliation of comparable sales growth.</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69315"/>
                <wp:effectExtent l="0" t="0" r="0" b="0"/>
                <wp:wrapNone/>
                <wp:docPr id="6" name="Frame5"/>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2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2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Wallace Serif;sans-serif" w:hAnsi="Wallace Serif;sans-serif"/>
          <w:b/>
          <w:color w:val="000000"/>
          <w:sz w:val="22"/>
          <w:u w:val="single"/>
        </w:rPr>
      </w:pPr>
      <w:r>
        <w:rPr>
          <w:rFonts w:ascii="Wallace Serif;sans-serif" w:hAnsi="Wallace Serif;sans-serif"/>
          <w:b/>
          <w:color w:val="000000"/>
          <w:sz w:val="22"/>
          <w:u w:val="single"/>
        </w:rPr>
        <w:t>Nutrition</w:t>
      </w:r>
    </w:p>
    <w:p>
      <w:pPr>
        <w:pStyle w:val="TextBody"/>
        <w:bidi w:val="0"/>
        <w:spacing w:before="0" w:after="0"/>
        <w:jc w:val="left"/>
        <w:rPr/>
      </w:pPr>
      <w:r>
        <w:rPr/>
      </w:r>
    </w:p>
    <w:p>
      <w:pPr>
        <w:pStyle w:val="TextBody"/>
        <w:bidi w:val="0"/>
        <w:spacing w:lineRule="auto" w:line="276"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Third Quarter 2026 Results (3Q26)</w:t>
      </w:r>
    </w:p>
    <w:tbl>
      <w:tblPr>
        <w:tblW w:w="5286" w:type="dxa"/>
        <w:jc w:val="left"/>
        <w:tblInd w:w="0" w:type="dxa"/>
        <w:tblLayout w:type="fixed"/>
        <w:tblCellMar>
          <w:top w:w="28" w:type="dxa"/>
          <w:left w:w="28" w:type="dxa"/>
          <w:bottom w:w="28" w:type="dxa"/>
          <w:right w:w="28" w:type="dxa"/>
        </w:tblCellMar>
      </w:tblPr>
      <w:tblGrid>
        <w:gridCol w:w="809"/>
        <w:gridCol w:w="711"/>
        <w:gridCol w:w="714"/>
        <w:gridCol w:w="277"/>
        <w:gridCol w:w="279"/>
        <w:gridCol w:w="181"/>
        <w:gridCol w:w="109"/>
        <w:gridCol w:w="109"/>
        <w:gridCol w:w="109"/>
        <w:gridCol w:w="285"/>
        <w:gridCol w:w="285"/>
        <w:gridCol w:w="286"/>
        <w:gridCol w:w="109"/>
        <w:gridCol w:w="109"/>
        <w:gridCol w:w="109"/>
        <w:gridCol w:w="277"/>
        <w:gridCol w:w="279"/>
        <w:gridCol w:w="249"/>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3Q26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Pediatric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Adult</w:t>
            </w:r>
          </w:p>
        </w:tc>
      </w:tr>
      <w:tr>
        <w:trPr/>
        <w:tc>
          <w:tcPr>
            <w:tcW w:w="2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958 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381 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818 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2,262 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1,199 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78" w:type="dxa"/>
        <w:jc w:val="left"/>
        <w:tblInd w:w="0" w:type="dxa"/>
        <w:tblLayout w:type="fixed"/>
        <w:tblCellMar>
          <w:top w:w="28" w:type="dxa"/>
          <w:left w:w="28" w:type="dxa"/>
          <w:bottom w:w="28" w:type="dxa"/>
          <w:right w:w="28" w:type="dxa"/>
        </w:tblCellMar>
      </w:tblPr>
      <w:tblGrid>
        <w:gridCol w:w="1242"/>
        <w:gridCol w:w="1092"/>
        <w:gridCol w:w="1100"/>
        <w:gridCol w:w="188"/>
        <w:gridCol w:w="188"/>
        <w:gridCol w:w="109"/>
        <w:gridCol w:w="109"/>
        <w:gridCol w:w="109"/>
        <w:gridCol w:w="109"/>
        <w:gridCol w:w="233"/>
        <w:gridCol w:w="233"/>
        <w:gridCol w:w="109"/>
        <w:gridCol w:w="109"/>
        <w:gridCol w:w="109"/>
        <w:gridCol w:w="109"/>
        <w:gridCol w:w="188"/>
        <w:gridCol w:w="188"/>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5"/>
              </w:rPr>
            </w:pPr>
            <w:r>
              <w:rPr>
                <w:rFonts w:ascii="Wallace Serif;sans-serif" w:hAnsi="Wallace Serif;sans-serif"/>
                <w:b/>
                <w:color w:val="000000"/>
                <w:sz w:val="15"/>
              </w:rPr>
              <w:t>% Change vs. 3Q25</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Wallace Serif;sans-serif" w:hAnsi="Wallace Serif;sans-serif"/>
          <w:b w:val="false"/>
          <w:color w:val="000000"/>
          <w:sz w:val="20"/>
        </w:rPr>
      </w:pPr>
      <w:r>
        <w:rPr>
          <w:rFonts w:ascii="Wallace Serif;sans-serif" w:hAnsi="Wallace Serif;sans-serif"/>
          <w:b w:val="false"/>
          <w:color w:val="000000"/>
          <w:sz w:val="20"/>
        </w:rPr>
        <w:t>Worldwide Nutrition sales increased 5.1 percent on a reported basis and 4.9 percent on a comparable basis in the third quarter.</w:t>
      </w:r>
    </w:p>
    <w:p>
      <w:pPr>
        <w:pStyle w:val="TextBody"/>
        <w:bidi w:val="0"/>
        <w:spacing w:lineRule="auto" w:line="288" w:before="120" w:after="240"/>
        <w:jc w:val="left"/>
        <w:rPr>
          <w:rFonts w:ascii="Wallace Serif;sans-serif" w:hAnsi="Wallace Serif;sans-serif"/>
          <w:b w:val="false"/>
          <w:color w:val="000000"/>
          <w:sz w:val="20"/>
        </w:rPr>
      </w:pPr>
      <w:r>
        <w:rPr>
          <w:rFonts w:ascii="Wallace Serif;sans-serif" w:hAnsi="Wallace Serif;sans-serif"/>
          <w:b w:val="false"/>
          <w:color w:val="000000"/>
          <w:sz w:val="20"/>
        </w:rPr>
        <w:t>Worldwide Nutrition results were driven by broad-based growth across the portfolio, including sales growth of nearly 9.0 percent in Worldwide Pediatric.</w:t>
      </w:r>
    </w:p>
    <w:p>
      <w:pPr>
        <w:pStyle w:val="TextBody"/>
        <w:bidi w:val="0"/>
        <w:spacing w:lineRule="auto" w:line="288" w:before="240" w:after="240"/>
        <w:jc w:val="left"/>
        <w:rPr>
          <w:rFonts w:ascii="Wallace Serif;sans-serif" w:hAnsi="Wallace Serif;sans-serif"/>
          <w:b w:val="false"/>
          <w:color w:val="000000"/>
          <w:sz w:val="20"/>
        </w:rPr>
      </w:pPr>
      <w:r>
        <w:rPr>
          <w:rFonts w:ascii="Wallace Serif;sans-serif" w:hAnsi="Wallace Serif;sans-serif"/>
          <w:b w:val="false"/>
          <w:color w:val="000000"/>
          <w:sz w:val="20"/>
        </w:rPr>
        <w:t>On a sequential basis, Worldwide Nutrition sales increased $118 million compared to the second quarter of 2026.</w:t>
      </w:r>
    </w:p>
    <w:p>
      <w:pPr>
        <w:pStyle w:val="TextBody"/>
        <w:bidi w:val="0"/>
        <w:spacing w:before="240" w:after="240"/>
        <w:jc w:val="left"/>
        <w:rPr/>
      </w:pPr>
      <w:r>
        <w:rPr/>
      </w:r>
    </w:p>
    <w:p>
      <w:pPr>
        <w:pStyle w:val="TextBody"/>
        <w:bidi w:val="0"/>
        <w:spacing w:lineRule="auto" w:line="288" w:before="240" w:after="283"/>
        <w:jc w:val="left"/>
        <w:rPr>
          <w:rFonts w:ascii="Wallace Serif;sans-serif" w:hAnsi="Wallace Serif;sans-serif"/>
          <w:b/>
          <w:color w:val="000000"/>
          <w:sz w:val="20"/>
          <w:u w:val="single"/>
        </w:rPr>
      </w:pPr>
      <w:r>
        <w:rPr>
          <w:rFonts w:ascii="Wallace Serif;sans-serif" w:hAnsi="Wallace Serif;sans-serif"/>
          <w:b/>
          <w:color w:val="000000"/>
          <w:sz w:val="20"/>
          <w:u w:val="single"/>
        </w:rPr>
        <w:t>First Nine Months 2026 Results (9M26)</w:t>
      </w:r>
    </w:p>
    <w:tbl>
      <w:tblPr>
        <w:tblW w:w="5302" w:type="dxa"/>
        <w:jc w:val="left"/>
        <w:tblInd w:w="0" w:type="dxa"/>
        <w:tblLayout w:type="fixed"/>
        <w:tblCellMar>
          <w:top w:w="28" w:type="dxa"/>
          <w:left w:w="28" w:type="dxa"/>
          <w:bottom w:w="28" w:type="dxa"/>
          <w:right w:w="28" w:type="dxa"/>
        </w:tblCellMar>
      </w:tblPr>
      <w:tblGrid>
        <w:gridCol w:w="815"/>
        <w:gridCol w:w="716"/>
        <w:gridCol w:w="719"/>
        <w:gridCol w:w="278"/>
        <w:gridCol w:w="278"/>
        <w:gridCol w:w="181"/>
        <w:gridCol w:w="109"/>
        <w:gridCol w:w="109"/>
        <w:gridCol w:w="109"/>
        <w:gridCol w:w="285"/>
        <w:gridCol w:w="285"/>
        <w:gridCol w:w="286"/>
        <w:gridCol w:w="109"/>
        <w:gridCol w:w="109"/>
        <w:gridCol w:w="109"/>
        <w:gridCol w:w="278"/>
        <w:gridCol w:w="278"/>
        <w:gridCol w:w="249"/>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9M26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Pediatric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Adult</w:t>
            </w:r>
          </w:p>
        </w:tc>
      </w:tr>
      <w:tr>
        <w:trPr/>
        <w:tc>
          <w:tcPr>
            <w:tcW w:w="2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2,673 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1,613 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1,060 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3,750 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2,322 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6,423 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3,041 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3,382 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10" w:type="dxa"/>
        <w:jc w:val="left"/>
        <w:tblInd w:w="0" w:type="dxa"/>
        <w:tblLayout w:type="fixed"/>
        <w:tblCellMar>
          <w:top w:w="28" w:type="dxa"/>
          <w:left w:w="28" w:type="dxa"/>
          <w:bottom w:w="28" w:type="dxa"/>
          <w:right w:w="28" w:type="dxa"/>
        </w:tblCellMar>
      </w:tblPr>
      <w:tblGrid>
        <w:gridCol w:w="1241"/>
        <w:gridCol w:w="1093"/>
        <w:gridCol w:w="1100"/>
        <w:gridCol w:w="224"/>
        <w:gridCol w:w="226"/>
        <w:gridCol w:w="109"/>
        <w:gridCol w:w="109"/>
        <w:gridCol w:w="109"/>
        <w:gridCol w:w="109"/>
        <w:gridCol w:w="224"/>
        <w:gridCol w:w="226"/>
        <w:gridCol w:w="109"/>
        <w:gridCol w:w="109"/>
        <w:gridCol w:w="109"/>
        <w:gridCol w:w="109"/>
        <w:gridCol w:w="224"/>
        <w:gridCol w:w="22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 Change vs. 9M25</w:t>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 xml:space="preserve">Total reported </w:t>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69315"/>
                <wp:effectExtent l="0" t="0" r="0" b="0"/>
                <wp:wrapNone/>
                <wp:docPr id="7" name="Frame6"/>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3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3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Wallace Serif;sans-serif" w:hAnsi="Wallace Serif;sans-serif"/>
          <w:b/>
          <w:color w:val="000000"/>
          <w:sz w:val="22"/>
          <w:u w:val="single"/>
        </w:rPr>
      </w:pPr>
      <w:r>
        <w:rPr>
          <w:rFonts w:ascii="Wallace Serif;sans-serif" w:hAnsi="Wallace Serif;sans-serif"/>
          <w:b/>
          <w:color w:val="000000"/>
          <w:sz w:val="22"/>
          <w:u w:val="single"/>
        </w:rPr>
        <w:t>Diagnostics*</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Third Quarter 2026 Results (3Q26)</w:t>
      </w:r>
    </w:p>
    <w:tbl>
      <w:tblPr>
        <w:tblW w:w="9679" w:type="dxa"/>
        <w:jc w:val="left"/>
        <w:tblInd w:w="0" w:type="dxa"/>
        <w:tblLayout w:type="fixed"/>
        <w:tblCellMar>
          <w:top w:w="28" w:type="dxa"/>
          <w:left w:w="28" w:type="dxa"/>
          <w:bottom w:w="28" w:type="dxa"/>
          <w:right w:w="28" w:type="dxa"/>
        </w:tblCellMar>
      </w:tblPr>
      <w:tblGrid>
        <w:gridCol w:w="809"/>
        <w:gridCol w:w="711"/>
        <w:gridCol w:w="714"/>
        <w:gridCol w:w="278"/>
        <w:gridCol w:w="278"/>
        <w:gridCol w:w="181"/>
        <w:gridCol w:w="109"/>
        <w:gridCol w:w="109"/>
        <w:gridCol w:w="109"/>
        <w:gridCol w:w="494"/>
        <w:gridCol w:w="494"/>
        <w:gridCol w:w="496"/>
        <w:gridCol w:w="109"/>
        <w:gridCol w:w="109"/>
        <w:gridCol w:w="109"/>
        <w:gridCol w:w="569"/>
        <w:gridCol w:w="569"/>
        <w:gridCol w:w="571"/>
        <w:gridCol w:w="109"/>
        <w:gridCol w:w="109"/>
        <w:gridCol w:w="109"/>
        <w:gridCol w:w="740"/>
        <w:gridCol w:w="740"/>
        <w:gridCol w:w="10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3Q26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Core Laboratory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Cancer Diagnostics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Rapid/Molecular Diagnostics</w:t>
            </w:r>
          </w:p>
        </w:tc>
      </w:tr>
      <w:tr>
        <w:trPr/>
        <w:tc>
          <w:tcPr>
            <w:tcW w:w="2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1,853 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389 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938 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526 </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373 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3,305 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1,438 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968 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899 </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31" w:type="dxa"/>
        <w:jc w:val="left"/>
        <w:tblInd w:w="0" w:type="dxa"/>
        <w:tblLayout w:type="fixed"/>
        <w:tblCellMar>
          <w:top w:w="28" w:type="dxa"/>
          <w:left w:w="28" w:type="dxa"/>
          <w:bottom w:w="28" w:type="dxa"/>
          <w:right w:w="28" w:type="dxa"/>
        </w:tblCellMar>
      </w:tblPr>
      <w:tblGrid>
        <w:gridCol w:w="1242"/>
        <w:gridCol w:w="1092"/>
        <w:gridCol w:w="1100"/>
        <w:gridCol w:w="278"/>
        <w:gridCol w:w="278"/>
        <w:gridCol w:w="109"/>
        <w:gridCol w:w="109"/>
        <w:gridCol w:w="109"/>
        <w:gridCol w:w="109"/>
        <w:gridCol w:w="188"/>
        <w:gridCol w:w="188"/>
        <w:gridCol w:w="109"/>
        <w:gridCol w:w="109"/>
        <w:gridCol w:w="109"/>
        <w:gridCol w:w="109"/>
        <w:gridCol w:w="233"/>
        <w:gridCol w:w="233"/>
        <w:gridCol w:w="170"/>
        <w:gridCol w:w="109"/>
        <w:gridCol w:w="109"/>
        <w:gridCol w:w="109"/>
        <w:gridCol w:w="188"/>
        <w:gridCol w:w="188"/>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5"/>
              </w:rPr>
            </w:pPr>
            <w:r>
              <w:rPr>
                <w:rFonts w:ascii="Wallace Serif;sans-serif" w:hAnsi="Wallace Serif;sans-serif"/>
                <w:b/>
                <w:color w:val="000000"/>
                <w:sz w:val="15"/>
              </w:rPr>
              <w:t>% Change vs. 3Q25</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allace Serif;sans-serif" w:hAnsi="Wallace Serif;sans-serif"/>
                <w:b w:val="false"/>
                <w:color w:val="000000"/>
                <w:sz w:val="15"/>
              </w:rPr>
              <w:t xml:space="preserve">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allace Serif;sans-serif" w:hAnsi="Wallace Serif;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 xml:space="preserve">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left"/>
        <w:rPr/>
      </w:pPr>
      <w:r>
        <w:rPr/>
      </w:r>
    </w:p>
    <w:p>
      <w:pPr>
        <w:pStyle w:val="TextBody"/>
        <w:bidi w:val="0"/>
        <w:spacing w:lineRule="auto" w:line="288" w:before="120" w:after="60"/>
        <w:jc w:val="left"/>
        <w:rPr>
          <w:rFonts w:ascii="Wallace Serif;sans-serif" w:hAnsi="Wallace Serif;sans-serif"/>
          <w:b w:val="false"/>
          <w:color w:val="000000"/>
          <w:sz w:val="20"/>
        </w:rPr>
      </w:pPr>
      <w:r>
        <w:rPr>
          <w:rFonts w:ascii="Wallace Serif;sans-serif" w:hAnsi="Wallace Serif;sans-serif"/>
          <w:b w:val="false"/>
          <w:color w:val="000000"/>
          <w:sz w:val="20"/>
        </w:rPr>
        <w:t>Worldwide Diagnostics sales increased 46.7 percent on a reported basis and 6.4 percent on a comparable basis in the third quarter.</w:t>
      </w:r>
    </w:p>
    <w:p>
      <w:pPr>
        <w:pStyle w:val="TextBody"/>
        <w:bidi w:val="0"/>
        <w:spacing w:lineRule="auto" w:line="288" w:before="120" w:after="283"/>
        <w:jc w:val="left"/>
        <w:rPr>
          <w:rFonts w:ascii="Wallace Serif;sans-serif" w:hAnsi="Wallace Serif;sans-serif"/>
          <w:b w:val="false"/>
          <w:color w:val="000000"/>
          <w:sz w:val="20"/>
        </w:rPr>
      </w:pPr>
      <w:r>
        <w:rPr>
          <w:rFonts w:ascii="Wallace Serif;sans-serif" w:hAnsi="Wallace Serif;sans-serif"/>
          <w:b w:val="false"/>
          <w:color w:val="000000"/>
          <w:sz w:val="20"/>
        </w:rPr>
        <w:t xml:space="preserve">Worldwide Core Laboratory Diagnostics results were driven by balanced growth across major geographic regions including the U.S., Europe, Japan, and Latin America. </w:t>
      </w:r>
    </w:p>
    <w:p>
      <w:pPr>
        <w:pStyle w:val="TextBody"/>
        <w:bidi w:val="0"/>
        <w:spacing w:lineRule="auto" w:line="288" w:before="120" w:after="283"/>
        <w:jc w:val="left"/>
        <w:rPr>
          <w:rFonts w:ascii="Wallace Serif;sans-serif" w:hAnsi="Wallace Serif;sans-serif"/>
          <w:b w:val="false"/>
          <w:color w:val="000000"/>
          <w:sz w:val="20"/>
        </w:rPr>
      </w:pPr>
      <w:r>
        <w:rPr>
          <w:rFonts w:ascii="Wallace Serif;sans-serif" w:hAnsi="Wallace Serif;sans-serif"/>
          <w:b w:val="false"/>
          <w:color w:val="000000"/>
          <w:sz w:val="20"/>
        </w:rPr>
        <w:t xml:space="preserve">Cancer Diagnostics results were driven by growth of Cologuard® and also reflect contributions to growth from the precision oncology and international businesses. </w:t>
      </w:r>
    </w:p>
    <w:p>
      <w:pPr>
        <w:pStyle w:val="TextBody"/>
        <w:bidi w:val="0"/>
        <w:spacing w:before="120" w:after="283"/>
        <w:jc w:val="left"/>
        <w:rPr/>
      </w:pPr>
      <w:r>
        <w:rPr/>
      </w:r>
    </w:p>
    <w:p>
      <w:pPr>
        <w:pStyle w:val="TextBody"/>
        <w:bidi w:val="0"/>
        <w:spacing w:lineRule="auto" w:line="288" w:before="240" w:after="283"/>
        <w:jc w:val="left"/>
        <w:rPr>
          <w:rFonts w:ascii="Wallace Serif;sans-serif" w:hAnsi="Wallace Serif;sans-serif"/>
          <w:b/>
          <w:color w:val="000000"/>
          <w:sz w:val="20"/>
          <w:u w:val="single"/>
        </w:rPr>
      </w:pPr>
      <w:r>
        <w:rPr>
          <w:rFonts w:ascii="Wallace Serif;sans-serif" w:hAnsi="Wallace Serif;sans-serif"/>
          <w:b/>
          <w:color w:val="000000"/>
          <w:sz w:val="20"/>
          <w:u w:val="single"/>
        </w:rPr>
        <w:t>First Nine Months 2026 Results (9M26)</w:t>
      </w:r>
    </w:p>
    <w:tbl>
      <w:tblPr>
        <w:tblW w:w="9695" w:type="dxa"/>
        <w:jc w:val="left"/>
        <w:tblInd w:w="0" w:type="dxa"/>
        <w:tblLayout w:type="fixed"/>
        <w:tblCellMar>
          <w:top w:w="28" w:type="dxa"/>
          <w:left w:w="28" w:type="dxa"/>
          <w:bottom w:w="28" w:type="dxa"/>
          <w:right w:w="28" w:type="dxa"/>
        </w:tblCellMar>
      </w:tblPr>
      <w:tblGrid>
        <w:gridCol w:w="815"/>
        <w:gridCol w:w="716"/>
        <w:gridCol w:w="719"/>
        <w:gridCol w:w="278"/>
        <w:gridCol w:w="278"/>
        <w:gridCol w:w="181"/>
        <w:gridCol w:w="109"/>
        <w:gridCol w:w="109"/>
        <w:gridCol w:w="109"/>
        <w:gridCol w:w="494"/>
        <w:gridCol w:w="494"/>
        <w:gridCol w:w="496"/>
        <w:gridCol w:w="109"/>
        <w:gridCol w:w="109"/>
        <w:gridCol w:w="109"/>
        <w:gridCol w:w="569"/>
        <w:gridCol w:w="569"/>
        <w:gridCol w:w="571"/>
        <w:gridCol w:w="109"/>
        <w:gridCol w:w="109"/>
        <w:gridCol w:w="109"/>
        <w:gridCol w:w="740"/>
        <w:gridCol w:w="740"/>
        <w:gridCol w:w="10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9M26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Core Laboratory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Cancer Diagnostics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Rapid/Molecular Diagnostics</w:t>
            </w:r>
          </w:p>
        </w:tc>
      </w:tr>
      <w:tr>
        <w:trPr/>
        <w:tc>
          <w:tcPr>
            <w:tcW w:w="2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4,418 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1,113 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1,921 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1,384 </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4,159 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3,015 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1,082 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8,577 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4,128 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1,983 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2,466 </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55" w:type="dxa"/>
        <w:jc w:val="left"/>
        <w:tblInd w:w="0" w:type="dxa"/>
        <w:tblLayout w:type="fixed"/>
        <w:tblCellMar>
          <w:top w:w="28" w:type="dxa"/>
          <w:left w:w="28" w:type="dxa"/>
          <w:bottom w:w="28" w:type="dxa"/>
          <w:right w:w="28" w:type="dxa"/>
        </w:tblCellMar>
      </w:tblPr>
      <w:tblGrid>
        <w:gridCol w:w="1241"/>
        <w:gridCol w:w="1093"/>
        <w:gridCol w:w="1100"/>
        <w:gridCol w:w="233"/>
        <w:gridCol w:w="233"/>
        <w:gridCol w:w="109"/>
        <w:gridCol w:w="109"/>
        <w:gridCol w:w="109"/>
        <w:gridCol w:w="109"/>
        <w:gridCol w:w="188"/>
        <w:gridCol w:w="188"/>
        <w:gridCol w:w="109"/>
        <w:gridCol w:w="109"/>
        <w:gridCol w:w="109"/>
        <w:gridCol w:w="109"/>
        <w:gridCol w:w="233"/>
        <w:gridCol w:w="233"/>
        <w:gridCol w:w="110"/>
        <w:gridCol w:w="109"/>
        <w:gridCol w:w="109"/>
        <w:gridCol w:w="109"/>
        <w:gridCol w:w="224"/>
        <w:gridCol w:w="22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 Change vs. 9M25</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240" w:after="180"/>
        <w:jc w:val="left"/>
        <w:rPr>
          <w:rFonts w:ascii="Wallace Serif;sans-serif" w:hAnsi="Wallace Serif;sans-serif"/>
          <w:b w:val="false"/>
          <w:color w:val="000000"/>
          <w:sz w:val="16"/>
          <w:shd w:fill="FFFFFF" w:val="clear"/>
        </w:rPr>
      </w:pPr>
      <w:r>
        <w:rPr>
          <w:rFonts w:ascii="Wallace Serif;sans-serif" w:hAnsi="Wallace Serif;sans-serif"/>
          <w:b w:val="false"/>
          <w:color w:val="000000"/>
          <w:sz w:val="16"/>
          <w:shd w:fill="FFFFFF" w:val="clear"/>
        </w:rPr>
        <w:t>*Beginning in 2026, Abbott aggregated its previously reported Rapid Diagnostics, Molecular Diagnostics, and Point of Care businesses into the Rapid and Molecular Diagnostics business. On March 23, 2026, Abbott completed the acquisition of Exact Sciences. Following the acquisition, the sales of Exact Sciences are presented as Abbott's Cancer Diagnostics business.</w:t>
      </w:r>
    </w:p>
    <w:p>
      <w:pPr>
        <w:pStyle w:val="TextBody"/>
        <w:bidi w:val="0"/>
        <w:spacing w:lineRule="auto" w:line="288" w:before="180" w:after="283"/>
        <w:jc w:val="left"/>
        <w:rPr>
          <w:rFonts w:ascii="Wallace Serif;sans-serif" w:hAnsi="Wallace Serif;sans-serif"/>
          <w:b w:val="false"/>
          <w:color w:val="000000"/>
          <w:sz w:val="16"/>
        </w:rPr>
      </w:pPr>
      <w:r>
        <w:rPr>
          <w:rFonts w:ascii="Wallace Serif;sans-serif" w:hAnsi="Wallace Serif;sans-serif"/>
          <w:b w:val="false"/>
          <w:color w:val="000000"/>
          <w:sz w:val="16"/>
        </w:rPr>
        <w:t>Refer to pages 16 and 17 for a reconciliation of comparable sales growth.</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69315"/>
                <wp:effectExtent l="0" t="0" r="0" b="0"/>
                <wp:wrapNone/>
                <wp:docPr id="8" name="Frame7"/>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4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4 of 21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Wallace Serif;sans-serif" w:hAnsi="Wallace Serif;sans-serif"/>
          <w:b/>
          <w:color w:val="000000"/>
          <w:sz w:val="22"/>
          <w:u w:val="single"/>
        </w:rPr>
      </w:pPr>
      <w:r>
        <w:rPr>
          <w:rFonts w:ascii="Wallace Serif;sans-serif" w:hAnsi="Wallace Serif;sans-serif"/>
          <w:b/>
          <w:color w:val="000000"/>
          <w:sz w:val="22"/>
          <w:u w:val="single"/>
        </w:rPr>
        <w:t>Established Pharmaceuticals</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Third Quarter 2026 Results (3Q26)</w:t>
      </w:r>
    </w:p>
    <w:tbl>
      <w:tblPr>
        <w:tblW w:w="6338" w:type="dxa"/>
        <w:jc w:val="left"/>
        <w:tblInd w:w="0" w:type="dxa"/>
        <w:tblLayout w:type="fixed"/>
        <w:tblCellMar>
          <w:top w:w="28" w:type="dxa"/>
          <w:left w:w="28" w:type="dxa"/>
          <w:bottom w:w="28" w:type="dxa"/>
          <w:right w:w="28" w:type="dxa"/>
        </w:tblCellMar>
      </w:tblPr>
      <w:tblGrid>
        <w:gridCol w:w="809"/>
        <w:gridCol w:w="711"/>
        <w:gridCol w:w="714"/>
        <w:gridCol w:w="278"/>
        <w:gridCol w:w="278"/>
        <w:gridCol w:w="181"/>
        <w:gridCol w:w="109"/>
        <w:gridCol w:w="109"/>
        <w:gridCol w:w="109"/>
        <w:gridCol w:w="674"/>
        <w:gridCol w:w="674"/>
        <w:gridCol w:w="676"/>
        <w:gridCol w:w="109"/>
        <w:gridCol w:w="109"/>
        <w:gridCol w:w="109"/>
        <w:gridCol w:w="210"/>
        <w:gridCol w:w="211"/>
        <w:gridCol w:w="268"/>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3Q26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Key 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Other</w:t>
            </w:r>
          </w:p>
        </w:tc>
      </w:tr>
      <w:tr>
        <w:trPr/>
        <w:tc>
          <w:tcPr>
            <w:tcW w:w="2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1,195 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419 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1,614 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1,195 </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419 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81" w:type="dxa"/>
        <w:jc w:val="left"/>
        <w:tblInd w:w="0" w:type="dxa"/>
        <w:tblLayout w:type="fixed"/>
        <w:tblCellMar>
          <w:top w:w="28" w:type="dxa"/>
          <w:left w:w="28" w:type="dxa"/>
          <w:bottom w:w="28" w:type="dxa"/>
          <w:right w:w="28" w:type="dxa"/>
        </w:tblCellMar>
      </w:tblPr>
      <w:tblGrid>
        <w:gridCol w:w="1242"/>
        <w:gridCol w:w="1092"/>
        <w:gridCol w:w="1100"/>
        <w:gridCol w:w="188"/>
        <w:gridCol w:w="188"/>
        <w:gridCol w:w="110"/>
        <w:gridCol w:w="109"/>
        <w:gridCol w:w="109"/>
        <w:gridCol w:w="109"/>
        <w:gridCol w:w="233"/>
        <w:gridCol w:w="233"/>
        <w:gridCol w:w="110"/>
        <w:gridCol w:w="109"/>
        <w:gridCol w:w="109"/>
        <w:gridCol w:w="109"/>
        <w:gridCol w:w="188"/>
        <w:gridCol w:w="188"/>
        <w:gridCol w:w="155"/>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5"/>
              </w:rPr>
            </w:pPr>
            <w:r>
              <w:rPr>
                <w:rFonts w:ascii="Wallace Serif;sans-serif" w:hAnsi="Wallace Serif;sans-serif"/>
                <w:b/>
                <w:color w:val="000000"/>
                <w:sz w:val="15"/>
              </w:rPr>
              <w:t>% Change vs. 3Q25</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0"/>
        </w:rPr>
      </w:pPr>
      <w:r>
        <w:rPr>
          <w:rFonts w:ascii="Wallace Serif;sans-serif" w:hAnsi="Wallace Serif;sans-serif"/>
          <w:b w:val="false"/>
          <w:color w:val="000000"/>
          <w:sz w:val="20"/>
        </w:rPr>
        <w:t>Established Pharmaceuticals sales increased 6.8 percent on a reported basis and 8.4 percent on a comparable basis in the third quarter.</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0"/>
        </w:rPr>
      </w:pPr>
      <w:r>
        <w:rPr>
          <w:rFonts w:ascii="Wallace Serif;sans-serif" w:hAnsi="Wallace Serif;sans-serif"/>
          <w:b w:val="false"/>
          <w:color w:val="000000"/>
          <w:sz w:val="20"/>
        </w:rPr>
        <w:t>Key Emerging Markets include several emerging countries that represent the most attractive long-term growth opportunities for Abbott's branded generics product portfolio. Sales in these geographies increased 9.0 percent on a reported basis and 10.9 percent on a comparable basis, led by double-digit growth in India and several markets across the Latin America and Asia Pacific regions.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Wallace Serif;sans-serif" w:hAnsi="Wallace Serif;sans-serif"/>
          <w:b/>
          <w:color w:val="000000"/>
          <w:sz w:val="20"/>
          <w:u w:val="single"/>
        </w:rPr>
      </w:pPr>
      <w:r>
        <w:rPr>
          <w:rFonts w:ascii="Wallace Serif;sans-serif" w:hAnsi="Wallace Serif;sans-serif"/>
          <w:b/>
          <w:color w:val="000000"/>
          <w:sz w:val="20"/>
          <w:u w:val="single"/>
        </w:rPr>
        <w:t>First Nine Months 2026 Results (9M26)</w:t>
      </w:r>
    </w:p>
    <w:tbl>
      <w:tblPr>
        <w:tblW w:w="6489" w:type="dxa"/>
        <w:jc w:val="left"/>
        <w:tblInd w:w="0" w:type="dxa"/>
        <w:tblLayout w:type="fixed"/>
        <w:tblCellMar>
          <w:top w:w="28" w:type="dxa"/>
          <w:left w:w="28" w:type="dxa"/>
          <w:bottom w:w="28" w:type="dxa"/>
          <w:right w:w="28" w:type="dxa"/>
        </w:tblCellMar>
      </w:tblPr>
      <w:tblGrid>
        <w:gridCol w:w="815"/>
        <w:gridCol w:w="716"/>
        <w:gridCol w:w="719"/>
        <w:gridCol w:w="278"/>
        <w:gridCol w:w="278"/>
        <w:gridCol w:w="181"/>
        <w:gridCol w:w="109"/>
        <w:gridCol w:w="109"/>
        <w:gridCol w:w="109"/>
        <w:gridCol w:w="674"/>
        <w:gridCol w:w="674"/>
        <w:gridCol w:w="676"/>
        <w:gridCol w:w="109"/>
        <w:gridCol w:w="109"/>
        <w:gridCol w:w="109"/>
        <w:gridCol w:w="278"/>
        <w:gridCol w:w="278"/>
        <w:gridCol w:w="26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9M26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Key 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Other</w:t>
            </w:r>
          </w:p>
        </w:tc>
      </w:tr>
      <w:tr>
        <w:trPr/>
        <w:tc>
          <w:tcPr>
            <w:tcW w:w="2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3,448 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4,539 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3,448 </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1,091 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81" w:type="dxa"/>
        <w:jc w:val="left"/>
        <w:tblInd w:w="0" w:type="dxa"/>
        <w:tblLayout w:type="fixed"/>
        <w:tblCellMar>
          <w:top w:w="28" w:type="dxa"/>
          <w:left w:w="28" w:type="dxa"/>
          <w:bottom w:w="28" w:type="dxa"/>
          <w:right w:w="28" w:type="dxa"/>
        </w:tblCellMar>
      </w:tblPr>
      <w:tblGrid>
        <w:gridCol w:w="1241"/>
        <w:gridCol w:w="1093"/>
        <w:gridCol w:w="1100"/>
        <w:gridCol w:w="188"/>
        <w:gridCol w:w="188"/>
        <w:gridCol w:w="110"/>
        <w:gridCol w:w="109"/>
        <w:gridCol w:w="109"/>
        <w:gridCol w:w="109"/>
        <w:gridCol w:w="233"/>
        <w:gridCol w:w="233"/>
        <w:gridCol w:w="110"/>
        <w:gridCol w:w="109"/>
        <w:gridCol w:w="109"/>
        <w:gridCol w:w="109"/>
        <w:gridCol w:w="188"/>
        <w:gridCol w:w="188"/>
        <w:gridCol w:w="155"/>
      </w:tblGrid>
      <w:tr>
        <w:trPr/>
        <w:tc>
          <w:tcPr>
            <w:tcW w:w="12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 Change vs. 9M25</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69315"/>
                <wp:effectExtent l="0" t="0" r="0" b="0"/>
                <wp:wrapNone/>
                <wp:docPr id="9" name="Frame8"/>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5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5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Wallace Serif;sans-serif" w:hAnsi="Wallace Serif;sans-serif"/>
          <w:b/>
          <w:color w:val="000000"/>
          <w:sz w:val="22"/>
          <w:u w:val="single"/>
        </w:rPr>
      </w:pPr>
      <w:r>
        <w:rPr>
          <w:rFonts w:ascii="Wallace Serif;sans-serif" w:hAnsi="Wallace Serif;sans-serif"/>
          <w:b/>
          <w:color w:val="000000"/>
          <w:sz w:val="22"/>
          <w:u w:val="single"/>
        </w:rPr>
        <w:t>Medical Devices</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Third Quarter 2026 Results (3Q26)</w:t>
      </w:r>
    </w:p>
    <w:tbl>
      <w:tblPr>
        <w:tblW w:w="12032" w:type="dxa"/>
        <w:jc w:val="left"/>
        <w:tblInd w:w="0" w:type="dxa"/>
        <w:tblLayout w:type="fixed"/>
        <w:tblCellMar>
          <w:top w:w="28" w:type="dxa"/>
          <w:left w:w="28" w:type="dxa"/>
          <w:bottom w:w="28" w:type="dxa"/>
          <w:right w:w="28" w:type="dxa"/>
        </w:tblCellMar>
      </w:tblPr>
      <w:tblGrid>
        <w:gridCol w:w="587"/>
        <w:gridCol w:w="239"/>
        <w:gridCol w:w="240"/>
        <w:gridCol w:w="278"/>
        <w:gridCol w:w="278"/>
        <w:gridCol w:w="181"/>
        <w:gridCol w:w="109"/>
        <w:gridCol w:w="109"/>
        <w:gridCol w:w="109"/>
        <w:gridCol w:w="405"/>
        <w:gridCol w:w="405"/>
        <w:gridCol w:w="406"/>
        <w:gridCol w:w="109"/>
        <w:gridCol w:w="109"/>
        <w:gridCol w:w="109"/>
        <w:gridCol w:w="560"/>
        <w:gridCol w:w="560"/>
        <w:gridCol w:w="561"/>
        <w:gridCol w:w="109"/>
        <w:gridCol w:w="109"/>
        <w:gridCol w:w="109"/>
        <w:gridCol w:w="230"/>
        <w:gridCol w:w="230"/>
        <w:gridCol w:w="231"/>
        <w:gridCol w:w="109"/>
        <w:gridCol w:w="109"/>
        <w:gridCol w:w="109"/>
        <w:gridCol w:w="280"/>
        <w:gridCol w:w="280"/>
        <w:gridCol w:w="281"/>
        <w:gridCol w:w="109"/>
        <w:gridCol w:w="109"/>
        <w:gridCol w:w="109"/>
        <w:gridCol w:w="320"/>
        <w:gridCol w:w="320"/>
        <w:gridCol w:w="321"/>
        <w:gridCol w:w="109"/>
        <w:gridCol w:w="109"/>
        <w:gridCol w:w="109"/>
        <w:gridCol w:w="540"/>
        <w:gridCol w:w="540"/>
        <w:gridCol w:w="541"/>
        <w:gridCol w:w="109"/>
        <w:gridCol w:w="109"/>
        <w:gridCol w:w="109"/>
        <w:gridCol w:w="292"/>
        <w:gridCol w:w="264"/>
        <w:gridCol w:w="373"/>
      </w:tblGrid>
      <w:tr>
        <w:trPr/>
        <w:tc>
          <w:tcPr>
            <w:tcW w:w="5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3Q26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Rhythm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Electro-physiology*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Heart Failure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Vascular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Structural Heart*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Diabetes Care</w:t>
            </w:r>
          </w:p>
        </w:tc>
      </w:tr>
      <w:tr>
        <w:trPr/>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2,687 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380 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429 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303 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290 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228 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185 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872 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372 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444 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66 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1,313 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5,826 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752 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873 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387 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786 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592 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251 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2,185 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56" w:type="dxa"/>
        <w:jc w:val="left"/>
        <w:tblInd w:w="0" w:type="dxa"/>
        <w:tblLayout w:type="fixed"/>
        <w:tblCellMar>
          <w:top w:w="28" w:type="dxa"/>
          <w:left w:w="28" w:type="dxa"/>
          <w:bottom w:w="28" w:type="dxa"/>
          <w:right w:w="28" w:type="dxa"/>
        </w:tblCellMar>
      </w:tblPr>
      <w:tblGrid>
        <w:gridCol w:w="1242"/>
        <w:gridCol w:w="1092"/>
        <w:gridCol w:w="1100"/>
        <w:gridCol w:w="188"/>
        <w:gridCol w:w="188"/>
        <w:gridCol w:w="109"/>
        <w:gridCol w:w="109"/>
        <w:gridCol w:w="109"/>
        <w:gridCol w:w="109"/>
        <w:gridCol w:w="233"/>
        <w:gridCol w:w="233"/>
        <w:gridCol w:w="109"/>
        <w:gridCol w:w="109"/>
        <w:gridCol w:w="109"/>
        <w:gridCol w:w="109"/>
        <w:gridCol w:w="233"/>
        <w:gridCol w:w="233"/>
        <w:gridCol w:w="109"/>
        <w:gridCol w:w="109"/>
        <w:gridCol w:w="109"/>
        <w:gridCol w:w="109"/>
        <w:gridCol w:w="224"/>
        <w:gridCol w:w="226"/>
        <w:gridCol w:w="109"/>
        <w:gridCol w:w="109"/>
        <w:gridCol w:w="109"/>
        <w:gridCol w:w="109"/>
        <w:gridCol w:w="188"/>
        <w:gridCol w:w="188"/>
        <w:gridCol w:w="109"/>
        <w:gridCol w:w="109"/>
        <w:gridCol w:w="109"/>
        <w:gridCol w:w="109"/>
        <w:gridCol w:w="269"/>
        <w:gridCol w:w="271"/>
        <w:gridCol w:w="109"/>
        <w:gridCol w:w="109"/>
        <w:gridCol w:w="109"/>
        <w:gridCol w:w="109"/>
        <w:gridCol w:w="232"/>
        <w:gridCol w:w="234"/>
        <w:gridCol w:w="109"/>
        <w:gridCol w:w="109"/>
        <w:gridCol w:w="109"/>
        <w:gridCol w:w="109"/>
        <w:gridCol w:w="188"/>
        <w:gridCol w:w="188"/>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5"/>
              </w:rPr>
            </w:pPr>
            <w:r>
              <w:rPr>
                <w:rFonts w:ascii="Wallace Serif;sans-serif" w:hAnsi="Wallace Serif;sans-serif"/>
                <w:b/>
                <w:color w:val="000000"/>
                <w:sz w:val="15"/>
              </w:rPr>
              <w:t>% Change vs. 3Q25</w:t>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0"/>
        </w:rPr>
      </w:pPr>
      <w:r>
        <w:rPr>
          <w:rFonts w:ascii="Wallace Serif;sans-serif" w:hAnsi="Wallace Serif;sans-serif"/>
          <w:b w:val="false"/>
          <w:color w:val="000000"/>
          <w:sz w:val="20"/>
        </w:rPr>
        <w:t>Worldwide Medical Devices sales increased 6.9 percent on a reported basis and 7.8 percent on a comparable basis in the third quarter.</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0"/>
        </w:rPr>
      </w:pPr>
      <w:r>
        <w:rPr>
          <w:rFonts w:ascii="Wallace Serif;sans-serif" w:hAnsi="Wallace Serif;sans-serif"/>
          <w:b w:val="false"/>
          <w:color w:val="000000"/>
          <w:sz w:val="20"/>
        </w:rPr>
        <w:t>Sales growth in the quarter was led by double-digit growth in Electrophysiology and Rhythm Management.</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0"/>
        </w:rPr>
      </w:pPr>
      <w:r>
        <w:rPr>
          <w:rFonts w:ascii="Wallace Serif;sans-serif" w:hAnsi="Wallace Serif;sans-serif"/>
          <w:b w:val="false"/>
          <w:color w:val="000000"/>
          <w:sz w:val="20"/>
        </w:rPr>
        <w:t xml:space="preserve">In Diabetes Care, sales of continuous glucose monitors grew 7.3 percent on a reported basis and 7.7 percent on a comparable basis. </w: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76"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First Nine Months 2026 Results (9M26)</w:t>
      </w:r>
    </w:p>
    <w:tbl>
      <w:tblPr>
        <w:tblW w:w="12218" w:type="dxa"/>
        <w:jc w:val="left"/>
        <w:tblInd w:w="0" w:type="dxa"/>
        <w:tblLayout w:type="fixed"/>
        <w:tblCellMar>
          <w:top w:w="28" w:type="dxa"/>
          <w:left w:w="28" w:type="dxa"/>
          <w:bottom w:w="28" w:type="dxa"/>
          <w:right w:w="28" w:type="dxa"/>
        </w:tblCellMar>
      </w:tblPr>
      <w:tblGrid>
        <w:gridCol w:w="587"/>
        <w:gridCol w:w="239"/>
        <w:gridCol w:w="240"/>
        <w:gridCol w:w="323"/>
        <w:gridCol w:w="323"/>
        <w:gridCol w:w="181"/>
        <w:gridCol w:w="109"/>
        <w:gridCol w:w="109"/>
        <w:gridCol w:w="109"/>
        <w:gridCol w:w="405"/>
        <w:gridCol w:w="405"/>
        <w:gridCol w:w="406"/>
        <w:gridCol w:w="109"/>
        <w:gridCol w:w="109"/>
        <w:gridCol w:w="109"/>
        <w:gridCol w:w="560"/>
        <w:gridCol w:w="560"/>
        <w:gridCol w:w="561"/>
        <w:gridCol w:w="109"/>
        <w:gridCol w:w="109"/>
        <w:gridCol w:w="109"/>
        <w:gridCol w:w="326"/>
        <w:gridCol w:w="230"/>
        <w:gridCol w:w="231"/>
        <w:gridCol w:w="109"/>
        <w:gridCol w:w="109"/>
        <w:gridCol w:w="109"/>
        <w:gridCol w:w="280"/>
        <w:gridCol w:w="280"/>
        <w:gridCol w:w="281"/>
        <w:gridCol w:w="109"/>
        <w:gridCol w:w="109"/>
        <w:gridCol w:w="109"/>
        <w:gridCol w:w="320"/>
        <w:gridCol w:w="320"/>
        <w:gridCol w:w="321"/>
        <w:gridCol w:w="109"/>
        <w:gridCol w:w="109"/>
        <w:gridCol w:w="109"/>
        <w:gridCol w:w="540"/>
        <w:gridCol w:w="540"/>
        <w:gridCol w:w="541"/>
        <w:gridCol w:w="109"/>
        <w:gridCol w:w="109"/>
        <w:gridCol w:w="109"/>
        <w:gridCol w:w="292"/>
        <w:gridCol w:w="264"/>
        <w:gridCol w:w="373"/>
      </w:tblGrid>
      <w:tr>
        <w:trPr/>
        <w:tc>
          <w:tcPr>
            <w:tcW w:w="5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9M26 ($ in millions)</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Rhythm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Electro-physiology*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Heart Failure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Vascular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Structural Heart*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Diabetes Care</w:t>
            </w:r>
          </w:p>
        </w:tc>
      </w:tr>
      <w:tr>
        <w:trPr/>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7,890 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1,096 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1,227 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908 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875 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677 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551 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2,556 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9,328 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1,083 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1,295 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1,491 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203 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3,897 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17,218 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2,179 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2,522 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1,177 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2,366 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1,767 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754 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6,453 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04"/>
        <w:gridCol w:w="1039"/>
        <w:gridCol w:w="1046"/>
        <w:gridCol w:w="233"/>
        <w:gridCol w:w="233"/>
        <w:gridCol w:w="109"/>
        <w:gridCol w:w="109"/>
        <w:gridCol w:w="109"/>
        <w:gridCol w:w="109"/>
        <w:gridCol w:w="233"/>
        <w:gridCol w:w="233"/>
        <w:gridCol w:w="109"/>
        <w:gridCol w:w="109"/>
        <w:gridCol w:w="109"/>
        <w:gridCol w:w="109"/>
        <w:gridCol w:w="233"/>
        <w:gridCol w:w="233"/>
        <w:gridCol w:w="109"/>
        <w:gridCol w:w="109"/>
        <w:gridCol w:w="109"/>
        <w:gridCol w:w="109"/>
        <w:gridCol w:w="233"/>
        <w:gridCol w:w="233"/>
        <w:gridCol w:w="109"/>
        <w:gridCol w:w="109"/>
        <w:gridCol w:w="109"/>
        <w:gridCol w:w="109"/>
        <w:gridCol w:w="188"/>
        <w:gridCol w:w="188"/>
        <w:gridCol w:w="109"/>
        <w:gridCol w:w="109"/>
        <w:gridCol w:w="109"/>
        <w:gridCol w:w="109"/>
        <w:gridCol w:w="267"/>
        <w:gridCol w:w="268"/>
        <w:gridCol w:w="109"/>
        <w:gridCol w:w="109"/>
        <w:gridCol w:w="109"/>
        <w:gridCol w:w="109"/>
        <w:gridCol w:w="232"/>
        <w:gridCol w:w="234"/>
        <w:gridCol w:w="109"/>
        <w:gridCol w:w="109"/>
        <w:gridCol w:w="109"/>
        <w:gridCol w:w="109"/>
        <w:gridCol w:w="233"/>
        <w:gridCol w:w="233"/>
        <w:gridCol w:w="157"/>
      </w:tblGrid>
      <w:tr>
        <w:trPr/>
        <w:tc>
          <w:tcPr>
            <w:tcW w:w="12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 Change vs. 9M25</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16"/>
        </w:rPr>
      </w:pPr>
      <w:r>
        <w:rPr>
          <w:rFonts w:ascii="Wallace Serif;sans-serif" w:hAnsi="Wallace Serif;sans-serif"/>
          <w:b w:val="false"/>
          <w:color w:val="000000"/>
          <w:sz w:val="16"/>
        </w:rPr>
        <w:t>*Abbott's Amplatzer Amulet Left Atrial Appendage Occluder device and related accessories were transferred from Structural Heart to Electrophysiology on January 1, 2026. As a result, $55 million of sales in the third quarter of 2025 and $156 million of sales in the first nine months of 2025 were moved from Structural Heart to Electrophysiology.</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16"/>
        </w:rPr>
      </w:pPr>
      <w:r>
        <w:rPr>
          <w:rFonts w:ascii="Wallace Serif;sans-serif" w:hAnsi="Wallace Serif;sans-serif"/>
          <w:b w:val="false"/>
          <w:color w:val="000000"/>
          <w:sz w:val="16"/>
        </w:rPr>
        <w:t>Refer to pages 16 and 17 for a reconciliation of comparable sales growth.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69315"/>
                <wp:effectExtent l="0" t="0" r="0" b="0"/>
                <wp:wrapNone/>
                <wp:docPr id="10" name="Frame9"/>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6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6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Wallace Serif;sans-serif" w:hAnsi="Wallace Serif;sans-serif"/>
          <w:b/>
          <w:color w:val="000000"/>
          <w:sz w:val="22"/>
        </w:rPr>
      </w:pPr>
      <w:r>
        <w:rPr>
          <w:rFonts w:ascii="Wallace Serif;sans-serif" w:hAnsi="Wallace Serif;sans-serif"/>
          <w:b/>
          <w:color w:val="000000"/>
          <w:sz w:val="22"/>
        </w:rPr>
        <w:t>Abbott's Financial Guidance</w:t>
      </w:r>
    </w:p>
    <w:p>
      <w:pPr>
        <w:pStyle w:val="TextBody"/>
        <w:bidi w:val="0"/>
        <w:spacing w:lineRule="auto" w:line="288" w:before="0" w:after="0"/>
        <w:jc w:val="left"/>
        <w:rPr/>
      </w:pPr>
      <w:r>
        <w:rPr>
          <w:rFonts w:ascii="Wallace Serif;sans-serif" w:hAnsi="Wallace Serif;sans-serif"/>
          <w:b w:val="false"/>
          <w:color w:val="000000"/>
          <w:sz w:val="22"/>
        </w:rPr>
        <w:t>Abbott projects full-year 2026 comparable sales growth to be approximately 6.0%</w:t>
      </w:r>
      <w:r>
        <w:rPr>
          <w:rFonts w:ascii="Wallace Serif;sans-serif" w:hAnsi="Wallace Serif;sans-serif"/>
          <w:b w:val="false"/>
          <w:color w:val="000000"/>
          <w:sz w:val="14"/>
        </w:rPr>
        <w:t>1</w:t>
      </w:r>
      <w:r>
        <w:rPr>
          <w:rFonts w:ascii="Wallace Serif;sans-serif" w:hAnsi="Wallace Serif;sans-serif"/>
          <w:b w:val="false"/>
          <w:color w:val="000000"/>
          <w:sz w:val="22"/>
        </w:rPr>
        <w:t>.</w:t>
      </w:r>
    </w:p>
    <w:p>
      <w:pPr>
        <w:pStyle w:val="TextBody"/>
        <w:bidi w:val="0"/>
        <w:spacing w:before="0" w:after="0"/>
        <w:jc w:val="left"/>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Abbott projects full-year 2026 adjusted diluted earnings per share of $5.50 to $5.55.</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 xml:space="preserve">Abbott projects fourth-quarter 2026 adjusted diluted earnings per share of $1.62 to $1.67. </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Abbott has not provided the related GAAP financial measures on a forward-looking basis for these forward-looking non-GAAP financial measures because the company is unable to predict with reasonable certainty and without unreasonable effort the timing and impact of certain items such as restructuring and cost reduction initiatives, charges for intangible asset impairments, acquisition-related expenses, and foreign exchange, which could significantly impact Abbott's results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Wallace Serif;sans-serif" w:hAnsi="Wallace Serif;sans-serif"/>
          <w:b/>
          <w:color w:val="000000"/>
          <w:sz w:val="22"/>
        </w:rPr>
        <w:t>Abbott Declares 411</w:t>
      </w:r>
      <w:r>
        <w:rPr>
          <w:rFonts w:ascii="Wallace Serif;sans-serif" w:hAnsi="Wallace Serif;sans-serif"/>
          <w:b/>
          <w:color w:val="000000"/>
          <w:sz w:val="14"/>
        </w:rPr>
        <w:t xml:space="preserve">th </w:t>
      </w:r>
      <w:r>
        <w:rPr>
          <w:rFonts w:ascii="Wallace Serif;sans-serif" w:hAnsi="Wallace Serif;sans-serif"/>
          <w:b/>
          <w:color w:val="000000"/>
          <w:sz w:val="22"/>
        </w:rPr>
        <w:t>Consecutive Quarterly Dividend</w:t>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On Sept. 17, 2026, the board of directors of Abbott declared the company's quarterly dividend of $0.63 per share. Abbott's cash dividend is payable Nov. 16, 2026, to shareholders of record at the close of business on Oct. 15, 2026.</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Abbott has increased its dividend payout for 54 consecutive years and is a member of the S&amp;P 500 Dividend Aristocrats Index, which tracks companies that have annually increased their dividend for at least 25 consecutive years.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Wallace Serif;sans-serif" w:hAnsi="Wallace Serif;sans-serif"/>
          <w:b/>
          <w:color w:val="000000"/>
          <w:sz w:val="22"/>
        </w:rPr>
        <w:t>About Abbott:</w:t>
      </w:r>
      <w:r>
        <w:rPr>
          <w:color w:val="000000"/>
        </w:rPr>
        <w:t xml:space="preserve"> </w:t>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Abbott is a global healthcare leader that helps people live more fully at all stages of life. Our portfolio of life-changing technologies spans the spectrum of healthcare, with leading businesses and products in diagnostics, medical devices, nutritionals and branded generic medicines. Our 122,000 colleagues serve people in more than 160 countries.</w:t>
      </w:r>
    </w:p>
    <w:p>
      <w:pPr>
        <w:pStyle w:val="TextBody"/>
        <w:bidi w:val="0"/>
        <w:spacing w:before="0" w:after="0"/>
        <w:jc w:val="left"/>
        <w:rPr/>
      </w:pPr>
      <w:r>
        <w:rPr/>
      </w:r>
    </w:p>
    <w:p>
      <w:pPr>
        <w:pStyle w:val="TextBody"/>
        <w:bidi w:val="0"/>
        <w:spacing w:lineRule="auto" w:line="288" w:before="0" w:after="0"/>
        <w:jc w:val="left"/>
        <w:rPr/>
      </w:pPr>
      <w:r>
        <w:rPr>
          <w:rFonts w:ascii="Wallace Serif;sans-serif" w:hAnsi="Wallace Serif;sans-serif"/>
          <w:b w:val="false"/>
          <w:color w:val="000000"/>
          <w:sz w:val="22"/>
        </w:rPr>
        <w:t>Connect with us at</w:t>
      </w:r>
      <w:r>
        <w:rPr>
          <w:color w:val="000000"/>
        </w:rPr>
        <w:t xml:space="preserve"> </w:t>
      </w:r>
      <w:r>
        <w:rPr>
          <w:rFonts w:ascii="Wallace Serif;sans-serif" w:hAnsi="Wallace Serif;sans-serif"/>
          <w:b w:val="false"/>
          <w:color w:val="000000"/>
          <w:sz w:val="22"/>
        </w:rPr>
        <w:t xml:space="preserve">www.abbott.com and on LinkedIn, Facebook, Instagram, X and YouTube. </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Abbott will live-webcast its third-quarter earnings conference call through its Investor Relations website at www.abbottinvestor.com at 8 a.m. Central time today. An archived edition of the webcast will be available later in the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69315"/>
                <wp:effectExtent l="0" t="0" r="0" b="0"/>
                <wp:wrapNone/>
                <wp:docPr id="11" name="Frame10"/>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7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7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color w:val="000000"/>
        </w:rPr>
      </w:pPr>
      <w:r>
        <w:rPr>
          <w:color w:val="000000"/>
        </w:rPr>
        <w:t xml:space="preserve">— </w:t>
      </w:r>
      <w:r>
        <w:rPr>
          <w:rFonts w:ascii="Wallace Serif;sans-serif" w:hAnsi="Wallace Serif;sans-serif"/>
          <w:b/>
          <w:color w:val="000000"/>
          <w:sz w:val="20"/>
        </w:rPr>
        <w:t>Private Securities Litigation Reform Act of 1995 —</w:t>
      </w:r>
    </w:p>
    <w:p>
      <w:pPr>
        <w:pStyle w:val="TextBody"/>
        <w:bidi w:val="0"/>
        <w:spacing w:lineRule="auto" w:line="304" w:before="0" w:after="0"/>
        <w:jc w:val="center"/>
        <w:rPr>
          <w:rFonts w:ascii="Wallace Serif;sans-serif" w:hAnsi="Wallace Serif;sans-serif"/>
          <w:b/>
          <w:color w:val="000000"/>
          <w:sz w:val="20"/>
        </w:rPr>
      </w:pPr>
      <w:r>
        <w:rPr>
          <w:rFonts w:ascii="Wallace Serif;sans-serif" w:hAnsi="Wallace Serif;sans-serif"/>
          <w:b/>
          <w:color w:val="000000"/>
          <w:sz w:val="20"/>
        </w:rPr>
        <w:t>A Caution Concerning Forward-Looking Statements</w:t>
      </w:r>
    </w:p>
    <w:p>
      <w:pPr>
        <w:pStyle w:val="TextBody"/>
        <w:bidi w:val="0"/>
        <w:spacing w:before="0" w:after="0"/>
        <w:jc w:val="center"/>
        <w:rPr/>
      </w:pPr>
      <w:r>
        <w:rPr/>
      </w:r>
    </w:p>
    <w:p>
      <w:pPr>
        <w:pStyle w:val="TextBody"/>
        <w:bidi w:val="0"/>
        <w:spacing w:lineRule="auto" w:line="288" w:before="0" w:after="0"/>
        <w:jc w:val="both"/>
        <w:rPr>
          <w:rFonts w:ascii="Wallace Serif;sans-serif" w:hAnsi="Wallace Serif;sans-serif"/>
          <w:b w:val="false"/>
          <w:i/>
          <w:color w:val="000000"/>
          <w:sz w:val="18"/>
        </w:rPr>
      </w:pPr>
      <w:r>
        <w:rPr>
          <w:rFonts w:ascii="Wallace Serif;sans-serif" w:hAnsi="Wallace Serif;sans-serif"/>
          <w:b w:val="false"/>
          <w:i/>
          <w:color w:val="000000"/>
          <w:sz w:val="18"/>
        </w:rPr>
        <w:t>Some statements in this news release may be forward-looking statements for purposes of the Private Securities Litigation Reform Act of 1995. Abbott cautions that these forward-looking statements are subject to risks and uncertainties that may cause actual results to differ materially from those indicated in the forward-looking statements. Economic, competitive, governmental, technological and other factors that may affect Abbott's operations are discussed in Item 1A, "Risk Factors" in our Annual Report on Form 10-K for the year ended Dec. 31, 2025, and are incorporated herein by reference. Abbott undertakes no obligation to release publicly any revisions to forward-looking statements as a result of subsequent events or developments, except as required by law.</w:t>
      </w:r>
    </w:p>
    <w:tbl>
      <w:tblPr>
        <w:tblW w:w="8010" w:type="dxa"/>
        <w:jc w:val="left"/>
        <w:tblInd w:w="0" w:type="dxa"/>
        <w:tblLayout w:type="fixed"/>
        <w:tblCellMar>
          <w:top w:w="28" w:type="dxa"/>
          <w:left w:w="28" w:type="dxa"/>
          <w:bottom w:w="28" w:type="dxa"/>
          <w:right w:w="28" w:type="dxa"/>
        </w:tblCellMar>
      </w:tblPr>
      <w:tblGrid>
        <w:gridCol w:w="1488"/>
        <w:gridCol w:w="1308"/>
        <w:gridCol w:w="1314"/>
        <w:gridCol w:w="1142"/>
        <w:gridCol w:w="1142"/>
        <w:gridCol w:w="1616"/>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240" w:after="283"/>
              <w:jc w:val="left"/>
              <w:rPr>
                <w:rFonts w:ascii="Wallace Serif;sans-serif" w:hAnsi="Wallace Serif;sans-serif"/>
                <w:b/>
                <w:color w:val="000000"/>
                <w:sz w:val="22"/>
              </w:rPr>
            </w:pPr>
            <w:r>
              <w:rPr>
                <w:rFonts w:ascii="Wallace Serif;sans-serif" w:hAnsi="Wallace Serif;sans-serif"/>
                <w:b/>
                <w:color w:val="000000"/>
                <w:sz w:val="22"/>
              </w:rPr>
              <w:t>Abbott Financial:</w:t>
            </w:r>
          </w:p>
          <w:p>
            <w:pPr>
              <w:pStyle w:val="TableContents"/>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Michael Comilla, 224-668-1872</w:t>
            </w:r>
          </w:p>
          <w:p>
            <w:pPr>
              <w:pStyle w:val="TableContents"/>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Tamika McLoughlin, 224-399-5082</w:t>
            </w:r>
          </w:p>
          <w:p>
            <w:pPr>
              <w:pStyle w:val="TableContents"/>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Randy Blakley, 224-668-0036</w:t>
            </w:r>
          </w:p>
        </w:tc>
        <w:tc>
          <w:tcPr>
            <w:tcW w:w="39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240" w:after="283"/>
              <w:jc w:val="left"/>
              <w:rPr>
                <w:rFonts w:ascii="Wallace Serif;sans-serif" w:hAnsi="Wallace Serif;sans-serif"/>
                <w:b/>
                <w:color w:val="000000"/>
                <w:sz w:val="22"/>
              </w:rPr>
            </w:pPr>
            <w:r>
              <w:rPr>
                <w:rFonts w:ascii="Wallace Serif;sans-serif" w:hAnsi="Wallace Serif;sans-serif"/>
                <w:b/>
                <w:color w:val="000000"/>
                <w:sz w:val="22"/>
              </w:rPr>
              <w:t>Abbott Media:</w:t>
            </w:r>
          </w:p>
          <w:p>
            <w:pPr>
              <w:pStyle w:val="TableContents"/>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Karen Twigg May, 224-668-2681</w:t>
            </w:r>
          </w:p>
          <w:p>
            <w:pPr>
              <w:pStyle w:val="TableContents"/>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Kate Dyer, 224-668-9965</w:t>
            </w:r>
          </w:p>
        </w:tc>
      </w:tr>
    </w:tbl>
    <w:p>
      <w:pPr>
        <w:pStyle w:val="TextBody"/>
        <w:bidi w:val="0"/>
        <w:spacing w:before="0" w:after="0"/>
        <w:jc w:val="both"/>
        <w:rPr/>
      </w:pPr>
      <w:r>
        <w:rPr/>
      </w:r>
    </w:p>
    <w:p>
      <w:pPr>
        <w:pStyle w:val="TextBody"/>
        <w:bidi w:val="0"/>
        <w:spacing w:lineRule="auto" w:line="288"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1.In 2025, total worldwide sales were $44.328 billion, which included U.S. sales of $17.126 billion and international sales of $27.202 billion, and Abbott’s Structural Heart business received $89 million of compensation payments as part of a multi-year agreement with a competitor. Also in 2025, total worldwide sales for Exact Sciences were $3.247 billion, which included U.S. sales of $3.145 billion and international sales of $102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69315"/>
                <wp:effectExtent l="0" t="0" r="0" b="0"/>
                <wp:wrapNone/>
                <wp:docPr id="12" name="Frame11"/>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8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8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Condensed Consolidated Statement of Earnings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Third Quarter Ended September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08"/>
        <w:gridCol w:w="1896"/>
        <w:gridCol w:w="1925"/>
        <w:gridCol w:w="413"/>
        <w:gridCol w:w="413"/>
        <w:gridCol w:w="298"/>
        <w:gridCol w:w="109"/>
        <w:gridCol w:w="109"/>
        <w:gridCol w:w="109"/>
        <w:gridCol w:w="353"/>
        <w:gridCol w:w="353"/>
        <w:gridCol w:w="298"/>
        <w:gridCol w:w="109"/>
        <w:gridCol w:w="109"/>
        <w:gridCol w:w="109"/>
        <w:gridCol w:w="340"/>
        <w:gridCol w:w="340"/>
        <w:gridCol w:w="341"/>
        <w:gridCol w:w="109"/>
        <w:gridCol w:w="109"/>
        <w:gridCol w:w="155"/>
      </w:tblGrid>
      <w:tr>
        <w:trPr/>
        <w:tc>
          <w:tcPr>
            <w:tcW w:w="2208"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 Change</w:t>
            </w:r>
          </w:p>
        </w:tc>
        <w:tc>
          <w:tcPr>
            <w:tcW w:w="373"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Sales</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14.5 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Cost of products sold, excluding amortization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5,628 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5,075 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Amortization of intangible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841 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Research and development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920 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766 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Selling, general, and administrative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4,266 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3,051 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39.8 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Total Operating Cost and Expenses</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11,655 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9,312 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25.2 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Operating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1,358 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2,057 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(34.0)</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Interest expense,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297 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foreign exchange (gain)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(150)</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1,231 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2,180 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(43.5)</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311 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536 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(42.0)</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1)</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(44.1)</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 excluding Specified Items, as described below</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2)</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Common Share</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(43.6)</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Common Share, excluding Specified Items, as described below</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2)</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Average Number of Common Shares Outstanding Plus Dilutive Common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1,738 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1,749 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NOTES:</w:t>
      </w:r>
    </w:p>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See tables on page 13 for an explanation of certain non-GAAP financial information.</w:t>
      </w:r>
    </w:p>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n/m = Percent change is not meaningful.</w:t>
      </w:r>
    </w:p>
    <w:p>
      <w:pPr>
        <w:pStyle w:val="TextBody"/>
        <w:bidi w:val="0"/>
        <w:spacing w:lineRule="auto" w:line="288"/>
        <w:jc w:val="left"/>
        <w:rPr>
          <w:rFonts w:ascii="Wallace Serif;sans-serif" w:hAnsi="Wallace Serif;sans-serif"/>
          <w:b w:val="false"/>
          <w:color w:val="000000"/>
          <w:sz w:val="18"/>
        </w:rPr>
      </w:pPr>
      <w:r>
        <w:rPr>
          <w:rFonts w:ascii="Wallace Serif;sans-serif" w:hAnsi="Wallace Serif;sans-serif"/>
          <w:b w:val="false"/>
          <w:color w:val="000000"/>
          <w:sz w:val="18"/>
        </w:rPr>
        <w:t>See footnotes on the following page.</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69315"/>
                <wp:effectExtent l="0" t="0" r="0" b="0"/>
                <wp:wrapNone/>
                <wp:docPr id="13" name="Frame12"/>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9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9 of 21</w:t>
                      </w:r>
                    </w:p>
                    <w:p>
                      <w:pPr>
                        <w:pStyle w:val="TextBody"/>
                        <w:bidi w:val="0"/>
                        <w:spacing w:before="0" w:after="0"/>
                        <w:jc w:val="left"/>
                        <w:rPr/>
                      </w:pPr>
                      <w:r>
                        <w:rPr/>
                      </w:r>
                    </w:p>
                  </w:txbxContent>
                </v:textbox>
                <w10:wrap type="none"/>
              </v:rect>
            </w:pict>
          </mc:Fallback>
        </mc:AlternateContent>
      </w:r>
    </w:p>
    <w:p>
      <w:pPr>
        <w:pStyle w:val="TextBody"/>
        <w:bidi w:val="0"/>
        <w:spacing w:lineRule="auto" w:line="336" w:before="0" w:after="0"/>
        <w:ind w:left="0" w:right="0" w:hanging="360"/>
        <w:jc w:val="left"/>
        <w:rPr>
          <w:rFonts w:ascii="Wallace Serif;sans-serif" w:hAnsi="Wallace Serif;sans-serif"/>
          <w:b w:val="false"/>
          <w:color w:val="000000"/>
          <w:sz w:val="16"/>
        </w:rPr>
      </w:pPr>
      <w:r>
        <w:rPr>
          <w:rFonts w:ascii="Wallace Serif;sans-serif" w:hAnsi="Wallace Serif;sans-serif"/>
          <w:b w:val="false"/>
          <w:color w:val="000000"/>
          <w:sz w:val="16"/>
        </w:rPr>
        <w:t>1)2026 Taxes on Earnings includes the recognition of approximately $35 million of net tax expense primarily as a result of the resolution of various tax positions related to prior years. 2026 Taxes on Earnings also includes approximately $100 million in adjustments related to prior recognition of a significant non-cash deferred tax benefit.</w:t>
      </w:r>
    </w:p>
    <w:p>
      <w:pPr>
        <w:pStyle w:val="TextBody"/>
        <w:bidi w:val="0"/>
        <w:spacing w:before="0" w:after="0"/>
        <w:jc w:val="left"/>
        <w:rPr/>
      </w:pPr>
      <w:r>
        <w:rPr/>
      </w:r>
    </w:p>
    <w:p>
      <w:pPr>
        <w:pStyle w:val="TextBody"/>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2025 Taxes on Earnings includes approximately $160 million in adjustments related to prior recognition of a significant non-cash deferred tax benefit.</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6"/>
        </w:rPr>
      </w:pPr>
      <w:r>
        <w:rPr>
          <w:rFonts w:ascii="Wallace Serif;sans-serif" w:hAnsi="Wallace Serif;sans-serif"/>
          <w:b w:val="false"/>
          <w:color w:val="000000"/>
          <w:sz w:val="16"/>
        </w:rPr>
        <w:t xml:space="preserve">2)2026 Net Earnings and Diluted Earnings per Common Share, excluding Specified Items, excludes net after-tax charges of $1.557 billion, or $0.89 per share, for intangible amortization, legal settlements, acquisitions, restructuring actions, and other net expenses. </w:t>
      </w:r>
    </w:p>
    <w:p>
      <w:pPr>
        <w:pStyle w:val="TextBody"/>
        <w:bidi w:val="0"/>
        <w:spacing w:before="0" w:after="0"/>
        <w:jc w:val="left"/>
        <w:rPr/>
      </w:pPr>
      <w:r>
        <w:rPr/>
      </w:r>
    </w:p>
    <w:p>
      <w:pPr>
        <w:pStyle w:val="TextBody"/>
        <w:bidi w:val="0"/>
        <w:spacing w:lineRule="auto" w:line="336"/>
        <w:jc w:val="left"/>
        <w:rPr>
          <w:rFonts w:ascii="Wallace Serif;sans-serif" w:hAnsi="Wallace Serif;sans-serif"/>
          <w:b w:val="false"/>
          <w:color w:val="000000"/>
          <w:sz w:val="16"/>
        </w:rPr>
      </w:pPr>
      <w:r>
        <w:rPr>
          <w:rFonts w:ascii="Wallace Serif;sans-serif" w:hAnsi="Wallace Serif;sans-serif"/>
          <w:b w:val="false"/>
          <w:color w:val="000000"/>
          <w:sz w:val="16"/>
        </w:rPr>
        <w:t>2025 Net Earnings and Diluted Earnings per Common Share, excluding Specified Items, excludes net after-tax charges of $634 million, or $0.36 per share, for intangible amortization, charges related to restructuring and cost reduction initiatives, and other net expenses.</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69315"/>
                <wp:effectExtent l="0" t="0" r="0" b="0"/>
                <wp:wrapNone/>
                <wp:docPr id="14" name="Frame13"/>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10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10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Condensed Consolidated Statement of Earnings</w:t>
      </w:r>
    </w:p>
    <w:p>
      <w:pPr>
        <w:pStyle w:val="TextBody"/>
        <w:bidi w:val="0"/>
        <w:spacing w:lineRule="auto" w:line="276"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Nine Months Ended September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844" w:type="dxa"/>
        <w:jc w:val="center"/>
        <w:tblInd w:w="0" w:type="dxa"/>
        <w:tblLayout w:type="fixed"/>
        <w:tblCellMar>
          <w:top w:w="28" w:type="dxa"/>
          <w:left w:w="28" w:type="dxa"/>
          <w:bottom w:w="28" w:type="dxa"/>
          <w:right w:w="28" w:type="dxa"/>
        </w:tblCellMar>
      </w:tblPr>
      <w:tblGrid>
        <w:gridCol w:w="2004"/>
        <w:gridCol w:w="1759"/>
        <w:gridCol w:w="1786"/>
        <w:gridCol w:w="413"/>
        <w:gridCol w:w="413"/>
        <w:gridCol w:w="298"/>
        <w:gridCol w:w="109"/>
        <w:gridCol w:w="109"/>
        <w:gridCol w:w="109"/>
        <w:gridCol w:w="413"/>
        <w:gridCol w:w="413"/>
        <w:gridCol w:w="298"/>
        <w:gridCol w:w="109"/>
        <w:gridCol w:w="109"/>
        <w:gridCol w:w="109"/>
        <w:gridCol w:w="340"/>
        <w:gridCol w:w="340"/>
        <w:gridCol w:w="341"/>
        <w:gridCol w:w="109"/>
        <w:gridCol w:w="109"/>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9M26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9M25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Sales</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$36,770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$32,869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11.9 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Cost of products sold, excluding amortization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15,843 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14,397 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Amortization of intangible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1,921 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1,260 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52.4 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Research and development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2,579 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2,207 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Selling, general, and administrative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12,031 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9,203 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30.7 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Total Operating Cost and Expenses</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32,374 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27,067 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19.6 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Operating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4,396 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5,802 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(24.2)</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Interest expense,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664 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143 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foreign exchange (gain)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(457)</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(414)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4,204 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6,108 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(31.2)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1,279 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1,360 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(6.0)</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1)</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(38.4)</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 excluding Specified Items, as described below</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2)</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Common Share</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(38.1)</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Common Share,</w:t>
            </w:r>
          </w:p>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excluding Specified Items, as described below</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2)</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Average Number of Common Shares Outstanding</w:t>
            </w:r>
          </w:p>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Plus Dilutive Common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1,743 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1,749 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left"/>
        <w:rPr>
          <w:rFonts w:ascii="Wallace Serif;sans-serif" w:hAnsi="Wallace Serif;sans-serif"/>
          <w:b w:val="false"/>
          <w:color w:val="000000"/>
          <w:sz w:val="18"/>
        </w:rPr>
      </w:pPr>
      <w:r>
        <w:rPr>
          <w:rFonts w:ascii="Wallace Serif;sans-serif" w:hAnsi="Wallace Serif;sans-serif"/>
          <w:b w:val="false"/>
          <w:color w:val="000000"/>
          <w:sz w:val="18"/>
        </w:rPr>
        <w:t>NOTES:</w:t>
      </w:r>
    </w:p>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See tables on page 14 for an explanation of certain non-GAAP financial information.</w:t>
      </w:r>
    </w:p>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n/m = Percent change is not meaningful.</w:t>
      </w:r>
    </w:p>
    <w:p>
      <w:pPr>
        <w:pStyle w:val="TextBody"/>
        <w:bidi w:val="0"/>
        <w:spacing w:lineRule="auto" w:line="276"/>
        <w:jc w:val="left"/>
        <w:rPr>
          <w:rFonts w:ascii="Wallace Serif;sans-serif" w:hAnsi="Wallace Serif;sans-serif"/>
          <w:b w:val="false"/>
          <w:color w:val="000000"/>
          <w:sz w:val="18"/>
        </w:rPr>
      </w:pPr>
      <w:r>
        <w:rPr>
          <w:rFonts w:ascii="Wallace Serif;sans-serif" w:hAnsi="Wallace Serif;sans-serif"/>
          <w:b w:val="false"/>
          <w:color w:val="000000"/>
          <w:sz w:val="18"/>
        </w:rPr>
        <w:t>See footnotes on the following page.</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69315"/>
                <wp:effectExtent l="0" t="0" r="0" b="0"/>
                <wp:wrapNone/>
                <wp:docPr id="15" name="Frame14"/>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11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11 of 21</w:t>
                      </w:r>
                    </w:p>
                    <w:p>
                      <w:pPr>
                        <w:pStyle w:val="TextBody"/>
                        <w:bidi w:val="0"/>
                        <w:spacing w:before="0" w:after="0"/>
                        <w:jc w:val="left"/>
                        <w:rPr/>
                      </w:pPr>
                      <w:r>
                        <w:rPr/>
                      </w:r>
                    </w:p>
                  </w:txbxContent>
                </v:textbox>
                <w10:wrap type="none"/>
              </v:rect>
            </w:pict>
          </mc:Fallback>
        </mc:AlternateContent>
      </w:r>
    </w:p>
    <w:p>
      <w:pPr>
        <w:pStyle w:val="TextBody"/>
        <w:bidi w:val="0"/>
        <w:spacing w:lineRule="auto" w:line="336" w:before="0" w:after="0"/>
        <w:ind w:left="0" w:right="0" w:hanging="360"/>
        <w:jc w:val="left"/>
        <w:rPr/>
      </w:pPr>
      <w:r>
        <w:rPr>
          <w:rFonts w:ascii="Wallace Serif;sans-serif" w:hAnsi="Wallace Serif;sans-serif"/>
          <w:b w:val="false"/>
          <w:color w:val="000000"/>
          <w:sz w:val="16"/>
        </w:rPr>
        <w:t>1)2026 Taxes on Earnings includes the recognition of approximately</w:t>
      </w:r>
      <w:r>
        <w:rPr>
          <w:color w:val="000000"/>
          <w:shd w:fill="FFFFFF" w:val="clear"/>
        </w:rPr>
        <w:t xml:space="preserve"> </w:t>
      </w:r>
      <w:r>
        <w:rPr>
          <w:rFonts w:ascii="Wallace Serif;sans-serif" w:hAnsi="Wallace Serif;sans-serif"/>
          <w:b w:val="false"/>
          <w:color w:val="000000"/>
          <w:sz w:val="16"/>
          <w:shd w:fill="FFFFFF" w:val="clear"/>
        </w:rPr>
        <w:t xml:space="preserve">$95 </w:t>
      </w:r>
      <w:r>
        <w:rPr>
          <w:rFonts w:ascii="Wallace Serif;sans-serif" w:hAnsi="Wallace Serif;sans-serif"/>
          <w:b w:val="false"/>
          <w:color w:val="000000"/>
          <w:sz w:val="16"/>
        </w:rPr>
        <w:t xml:space="preserve">million of net tax expense primarily as a result of the resolution of various tax positions related to prior years. 2026 </w:t>
      </w:r>
      <w:r>
        <w:rPr>
          <w:rFonts w:ascii="Wallace Serif;sans-serif" w:hAnsi="Wallace Serif;sans-serif"/>
          <w:b w:val="false"/>
          <w:color w:val="000000"/>
          <w:sz w:val="16"/>
          <w:shd w:fill="FFFFFF" w:val="clear"/>
        </w:rPr>
        <w:t>Taxes on Earnings also includes approximately $540 million in adjustments related to prior recognition of a significant non-cash deferred tax benefit.</w:t>
      </w:r>
      <w:r>
        <w:rPr>
          <w:color w:val="000000"/>
        </w:rPr>
        <w:t xml:space="preserve"> </w:t>
      </w:r>
    </w:p>
    <w:p>
      <w:pPr>
        <w:pStyle w:val="TextBody"/>
        <w:bidi w:val="0"/>
        <w:spacing w:before="0" w:after="0"/>
        <w:jc w:val="left"/>
        <w:rPr/>
      </w:pPr>
      <w:r>
        <w:rPr/>
      </w:r>
    </w:p>
    <w:p>
      <w:pPr>
        <w:pStyle w:val="TextBody"/>
        <w:bidi w:val="0"/>
        <w:spacing w:lineRule="auto" w:line="336" w:before="0" w:after="0"/>
        <w:jc w:val="left"/>
        <w:rPr/>
      </w:pPr>
      <w:r>
        <w:rPr>
          <w:rFonts w:ascii="Wallace Serif;sans-serif" w:hAnsi="Wallace Serif;sans-serif"/>
          <w:b w:val="false"/>
          <w:color w:val="000000"/>
          <w:sz w:val="16"/>
        </w:rPr>
        <w:t>2025 Taxes on Earnings includes the recognition of approximately $90 million of net tax benefit as a result of the resolution of various tax positions related to prior years. 2025 Taxes on Earnings also includes approximately $460 million in adjustments related to prior recognition of a significant non-cash deferred tax benefit</w:t>
      </w:r>
      <w:r>
        <w:rPr>
          <w:rFonts w:ascii="Wallace Serif;sans-serif" w:hAnsi="Wallace Serif;sans-serif"/>
          <w:b w:val="false"/>
          <w:color w:val="000000"/>
          <w:sz w:val="16"/>
          <w:shd w:fill="FFFFFF" w:val="clear"/>
        </w:rPr>
        <w:t>.</w:t>
      </w:r>
      <w:r>
        <w:rPr>
          <w:color w:val="000000"/>
        </w:rPr>
        <w:t xml:space="preserve"> </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6"/>
        </w:rPr>
      </w:pPr>
      <w:r>
        <w:rPr>
          <w:rFonts w:ascii="Wallace Serif;sans-serif" w:hAnsi="Wallace Serif;sans-serif"/>
          <w:b w:val="false"/>
          <w:color w:val="000000"/>
          <w:sz w:val="16"/>
        </w:rPr>
        <w:t>2)2026 Net Earnings and Diluted Earnings per Common Share, excluding Specified Items, excludes net after-tax charges of $3.864 billion, or $2.21 per share, for intangible amortization, legal settlements, acquisitions, restructuring actions, and other net expenses.</w:t>
      </w:r>
    </w:p>
    <w:p>
      <w:pPr>
        <w:pStyle w:val="TextBody"/>
        <w:bidi w:val="0"/>
        <w:spacing w:before="0" w:after="0"/>
        <w:jc w:val="left"/>
        <w:rPr/>
      </w:pPr>
      <w:r>
        <w:rPr/>
      </w:r>
    </w:p>
    <w:p>
      <w:pPr>
        <w:pStyle w:val="TextBody"/>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2025 Net Earnings and Diluted Earnings per Common Share, excluding Specified Items, excludes net after-tax charges of $1.662 billion, or $0.95 per share, for intangible amortization, charges related to investment impairments, charges related to restructuring and cost reduction initiatives, expenses associated with acquisitions, and other net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69315"/>
                <wp:effectExtent l="0" t="0" r="0" b="0"/>
                <wp:wrapNone/>
                <wp:docPr id="16" name="Frame15"/>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12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12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Non-GAAP Reconciliation of Financial Information</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Third Quarter Ended September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tbl>
      <w:tblPr>
        <w:tblW w:w="8760" w:type="dxa"/>
        <w:jc w:val="left"/>
        <w:tblInd w:w="0" w:type="dxa"/>
        <w:tblLayout w:type="fixed"/>
        <w:tblCellMar>
          <w:top w:w="28" w:type="dxa"/>
          <w:left w:w="28" w:type="dxa"/>
          <w:bottom w:w="28" w:type="dxa"/>
          <w:right w:w="28" w:type="dxa"/>
        </w:tblCellMar>
      </w:tblPr>
      <w:tblGrid>
        <w:gridCol w:w="989"/>
        <w:gridCol w:w="868"/>
        <w:gridCol w:w="872"/>
        <w:gridCol w:w="509"/>
        <w:gridCol w:w="1356"/>
        <w:gridCol w:w="249"/>
        <w:gridCol w:w="109"/>
        <w:gridCol w:w="109"/>
        <w:gridCol w:w="109"/>
        <w:gridCol w:w="411"/>
        <w:gridCol w:w="1068"/>
        <w:gridCol w:w="201"/>
        <w:gridCol w:w="109"/>
        <w:gridCol w:w="109"/>
        <w:gridCol w:w="109"/>
        <w:gridCol w:w="318"/>
        <w:gridCol w:w="847"/>
        <w:gridCol w:w="155"/>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3Q26</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 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Specified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 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841</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(841)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6,544</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904 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7,448</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920</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892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4,266</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(761)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3,505</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(164)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1,231</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2,920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311</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443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920</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1,557 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2,477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0.53</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0.89 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1.42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before="0" w:after="0"/>
        <w:jc w:val="left"/>
        <w:rPr>
          <w:rFonts w:ascii="Wallace Serif;sans-serif" w:hAnsi="Wallace Serif;sans-serif"/>
          <w:b w:val="false"/>
          <w:color w:val="000000"/>
          <w:sz w:val="18"/>
        </w:rPr>
      </w:pPr>
      <w:r>
        <w:rPr>
          <w:rFonts w:ascii="Wallace Serif;sans-serif" w:hAnsi="Wallace Serif;sans-serif"/>
          <w:b w:val="false"/>
          <w:color w:val="000000"/>
          <w:sz w:val="18"/>
        </w:rPr>
        <w:t>Specified items reflect intangible amortization expense of $841 million, legal settlements of approximately $670 million and other net expenses of $178 million associated with acquisitions, restructuring actions, and other net expenses. See page 18 for additional details regarding specified items.</w:t>
      </w:r>
    </w:p>
    <w:tbl>
      <w:tblPr>
        <w:tblW w:w="8760" w:type="dxa"/>
        <w:jc w:val="left"/>
        <w:tblInd w:w="0" w:type="dxa"/>
        <w:tblLayout w:type="fixed"/>
        <w:tblCellMar>
          <w:top w:w="28" w:type="dxa"/>
          <w:left w:w="28" w:type="dxa"/>
          <w:bottom w:w="28" w:type="dxa"/>
          <w:right w:w="28" w:type="dxa"/>
        </w:tblCellMar>
      </w:tblPr>
      <w:tblGrid>
        <w:gridCol w:w="989"/>
        <w:gridCol w:w="868"/>
        <w:gridCol w:w="872"/>
        <w:gridCol w:w="509"/>
        <w:gridCol w:w="1356"/>
        <w:gridCol w:w="249"/>
        <w:gridCol w:w="109"/>
        <w:gridCol w:w="109"/>
        <w:gridCol w:w="109"/>
        <w:gridCol w:w="411"/>
        <w:gridCol w:w="1068"/>
        <w:gridCol w:w="201"/>
        <w:gridCol w:w="109"/>
        <w:gridCol w:w="109"/>
        <w:gridCol w:w="109"/>
        <w:gridCol w:w="318"/>
        <w:gridCol w:w="847"/>
        <w:gridCol w:w="155"/>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3Q25</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 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Specified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 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420</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5,874</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6,344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766</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730</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3,051</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3,004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(150)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2,180</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548 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2,728</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536</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450</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1,644</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2,278</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0.94</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1.30</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jc w:val="left"/>
        <w:rPr>
          <w:rFonts w:ascii="Wallace Serif;sans-serif" w:hAnsi="Wallace Serif;sans-serif"/>
          <w:b w:val="false"/>
          <w:color w:val="000000"/>
          <w:sz w:val="18"/>
        </w:rPr>
      </w:pPr>
      <w:r>
        <w:rPr>
          <w:rFonts w:ascii="Wallace Serif;sans-serif" w:hAnsi="Wallace Serif;sans-serif"/>
          <w:b w:val="false"/>
          <w:color w:val="000000"/>
          <w:sz w:val="18"/>
        </w:rPr>
        <w:t>Specified items reflect intangible amortization expense of $420 million and other net expenses of $128 million associated with restructuring actions, costs associated with acquisitions, and other net expenses. See page 19 for additional details regarding specified items.</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69315"/>
                <wp:effectExtent l="0" t="0" r="0" b="0"/>
                <wp:wrapNone/>
                <wp:docPr id="17" name="Frame16"/>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13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13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Non-GAAP Reconciliation of Financial Information</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Nine Months Ended September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tbl>
      <w:tblPr>
        <w:tblW w:w="8161" w:type="dxa"/>
        <w:jc w:val="left"/>
        <w:tblInd w:w="0" w:type="dxa"/>
        <w:tblLayout w:type="fixed"/>
        <w:tblCellMar>
          <w:top w:w="28" w:type="dxa"/>
          <w:left w:w="28" w:type="dxa"/>
          <w:bottom w:w="28" w:type="dxa"/>
          <w:right w:w="28" w:type="dxa"/>
        </w:tblCellMar>
      </w:tblPr>
      <w:tblGrid>
        <w:gridCol w:w="989"/>
        <w:gridCol w:w="868"/>
        <w:gridCol w:w="872"/>
        <w:gridCol w:w="388"/>
        <w:gridCol w:w="1239"/>
        <w:gridCol w:w="187"/>
        <w:gridCol w:w="109"/>
        <w:gridCol w:w="109"/>
        <w:gridCol w:w="109"/>
        <w:gridCol w:w="335"/>
        <w:gridCol w:w="1183"/>
        <w:gridCol w:w="162"/>
        <w:gridCol w:w="109"/>
        <w:gridCol w:w="109"/>
        <w:gridCol w:w="109"/>
        <w:gridCol w:w="246"/>
        <w:gridCol w:w="655"/>
        <w:gridCol w:w="120"/>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9M26</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w:t>
              <w:br/>
              <w:t>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Specified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w:t>
              <w:br/>
              <w:t>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1,921</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(1,921)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19,006</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21,039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2,579</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2,502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12,031</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10,369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(457)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(487)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4,204</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3,802 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8,006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1,279</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1,217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2,925</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3,864 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6,789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1.67</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3.88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before="0" w:after="0"/>
        <w:jc w:val="left"/>
        <w:rPr>
          <w:rFonts w:ascii="Wallace Serif;sans-serif" w:hAnsi="Wallace Serif;sans-serif"/>
          <w:b w:val="false"/>
          <w:color w:val="000000"/>
          <w:sz w:val="18"/>
        </w:rPr>
      </w:pPr>
      <w:r>
        <w:rPr>
          <w:rFonts w:ascii="Wallace Serif;sans-serif" w:hAnsi="Wallace Serif;sans-serif"/>
          <w:b w:val="false"/>
          <w:color w:val="000000"/>
          <w:sz w:val="18"/>
        </w:rPr>
        <w:t>Specified items reflect intangible amortization expense of $1.921 billion, legal settlements of approximately $1.070 billion and other net expenses of $811 million associated with acquisitions, restructuring actions, and other net expenses. See page 20 for additional details regarding specified items.</w:t>
      </w:r>
    </w:p>
    <w:tbl>
      <w:tblPr>
        <w:tblW w:w="8161" w:type="dxa"/>
        <w:jc w:val="left"/>
        <w:tblInd w:w="0" w:type="dxa"/>
        <w:tblLayout w:type="fixed"/>
        <w:tblCellMar>
          <w:top w:w="28" w:type="dxa"/>
          <w:left w:w="28" w:type="dxa"/>
          <w:bottom w:w="28" w:type="dxa"/>
          <w:right w:w="28" w:type="dxa"/>
        </w:tblCellMar>
      </w:tblPr>
      <w:tblGrid>
        <w:gridCol w:w="989"/>
        <w:gridCol w:w="868"/>
        <w:gridCol w:w="872"/>
        <w:gridCol w:w="388"/>
        <w:gridCol w:w="1239"/>
        <w:gridCol w:w="187"/>
        <w:gridCol w:w="109"/>
        <w:gridCol w:w="109"/>
        <w:gridCol w:w="109"/>
        <w:gridCol w:w="335"/>
        <w:gridCol w:w="1183"/>
        <w:gridCol w:w="162"/>
        <w:gridCol w:w="109"/>
        <w:gridCol w:w="109"/>
        <w:gridCol w:w="109"/>
        <w:gridCol w:w="246"/>
        <w:gridCol w:w="655"/>
        <w:gridCol w:w="120"/>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9M25</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w:t>
              <w:br/>
              <w:t>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Specified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w:t>
              <w:br/>
              <w:t>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1,260</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(1,260)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17,212</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18,608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2,207</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2,124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9,203</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9,145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(414)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(445)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6,108</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7,676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1,360</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1,266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4,748</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6,410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2.70</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3.65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before="0" w:after="0"/>
        <w:jc w:val="left"/>
        <w:rPr>
          <w:rFonts w:ascii="Wallace Serif;sans-serif" w:hAnsi="Wallace Serif;sans-serif"/>
          <w:b w:val="false"/>
          <w:color w:val="000000"/>
          <w:sz w:val="18"/>
        </w:rPr>
      </w:pPr>
      <w:r>
        <w:rPr>
          <w:rFonts w:ascii="Wallace Serif;sans-serif" w:hAnsi="Wallace Serif;sans-serif"/>
          <w:b w:val="false"/>
          <w:color w:val="000000"/>
          <w:sz w:val="18"/>
        </w:rPr>
        <w:t>Specified items reflect intangible amortization expense of $1.260 billion and other net expenses of $308 million associated with restructuring actions, acquisitions, investment impairment charges, and other net expenses. See page 21 for additional details regarding specified items.</w:t>
      </w:r>
    </w:p>
    <w:p>
      <w:pPr>
        <w:pStyle w:val="TextBody"/>
        <w:bidi w:val="0"/>
        <w:spacing w:before="240" w:after="283"/>
        <w:jc w:val="left"/>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69315"/>
                <wp:effectExtent l="0" t="0" r="0" b="0"/>
                <wp:wrapNone/>
                <wp:docPr id="18" name="Frame17"/>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14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14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Wallace Serif;sans-serif" w:hAnsi="Wallace Serif;sans-serif"/>
          <w:b w:val="false"/>
          <w:color w:val="000000"/>
          <w:sz w:val="20"/>
        </w:rPr>
      </w:pPr>
      <w:r>
        <w:rPr>
          <w:rFonts w:ascii="Wallace Serif;sans-serif" w:hAnsi="Wallace Serif;sans-serif"/>
          <w:b w:val="false"/>
          <w:color w:val="000000"/>
          <w:sz w:val="20"/>
        </w:rPr>
        <w:t>A reconciliation of the third-quarter tax rates for 2026 and 2025 is shown below:</w:t>
      </w:r>
    </w:p>
    <w:tbl>
      <w:tblPr>
        <w:tblW w:w="6683" w:type="dxa"/>
        <w:jc w:val="left"/>
        <w:tblInd w:w="0" w:type="dxa"/>
        <w:tblLayout w:type="fixed"/>
        <w:tblCellMar>
          <w:top w:w="28" w:type="dxa"/>
          <w:left w:w="28" w:type="dxa"/>
          <w:bottom w:w="28" w:type="dxa"/>
          <w:right w:w="28" w:type="dxa"/>
        </w:tblCellMar>
      </w:tblPr>
      <w:tblGrid>
        <w:gridCol w:w="987"/>
        <w:gridCol w:w="868"/>
        <w:gridCol w:w="874"/>
        <w:gridCol w:w="226"/>
        <w:gridCol w:w="721"/>
        <w:gridCol w:w="109"/>
        <w:gridCol w:w="109"/>
        <w:gridCol w:w="109"/>
        <w:gridCol w:w="109"/>
        <w:gridCol w:w="264"/>
        <w:gridCol w:w="614"/>
        <w:gridCol w:w="128"/>
        <w:gridCol w:w="109"/>
        <w:gridCol w:w="109"/>
        <w:gridCol w:w="109"/>
        <w:gridCol w:w="270"/>
        <w:gridCol w:w="271"/>
        <w:gridCol w:w="325"/>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3Q26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Pre-Tax</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Taxes on</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w:t>
              <w:br/>
              <w:t>Rate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As reported (GAAP)</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311</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25.3</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Specified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Excluding specified items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2,920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443</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15.2</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83" w:type="dxa"/>
        <w:jc w:val="left"/>
        <w:tblInd w:w="0" w:type="dxa"/>
        <w:tblLayout w:type="fixed"/>
        <w:tblCellMar>
          <w:top w:w="28" w:type="dxa"/>
          <w:left w:w="28" w:type="dxa"/>
          <w:bottom w:w="28" w:type="dxa"/>
          <w:right w:w="28" w:type="dxa"/>
        </w:tblCellMar>
      </w:tblPr>
      <w:tblGrid>
        <w:gridCol w:w="987"/>
        <w:gridCol w:w="868"/>
        <w:gridCol w:w="874"/>
        <w:gridCol w:w="226"/>
        <w:gridCol w:w="721"/>
        <w:gridCol w:w="109"/>
        <w:gridCol w:w="109"/>
        <w:gridCol w:w="109"/>
        <w:gridCol w:w="109"/>
        <w:gridCol w:w="264"/>
        <w:gridCol w:w="614"/>
        <w:gridCol w:w="128"/>
        <w:gridCol w:w="109"/>
        <w:gridCol w:w="109"/>
        <w:gridCol w:w="109"/>
        <w:gridCol w:w="270"/>
        <w:gridCol w:w="271"/>
        <w:gridCol w:w="325"/>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3Q25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Pre-Tax</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Taxes on</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w:t>
              <w:br/>
              <w:t>Rate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As reported (GAAP)</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2,180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536</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24.6</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Specified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Excluding specified items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2,728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450</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16.5</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240" w:after="283"/>
        <w:ind w:left="0" w:right="0" w:hanging="360"/>
        <w:jc w:val="left"/>
        <w:rPr>
          <w:rFonts w:ascii="Wallace Serif;sans-serif" w:hAnsi="Wallace Serif;sans-serif"/>
          <w:b w:val="false"/>
          <w:color w:val="000000"/>
          <w:sz w:val="16"/>
        </w:rPr>
      </w:pPr>
      <w:r>
        <w:rPr>
          <w:rFonts w:ascii="Wallace Serif;sans-serif" w:hAnsi="Wallace Serif;sans-serif"/>
          <w:b w:val="false"/>
          <w:color w:val="000000"/>
          <w:sz w:val="16"/>
        </w:rPr>
        <w:t xml:space="preserve">1)2026 Taxes on Earnings includes the recognition of approximately $35 million of net tax expense primarily as a result of the resolution of various tax positions related to prior years. 2026 Taxes on Earnings also includes approximately $100 million in adjustments related to prior recognition of a significant non-cash deferred tax benefit. </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6"/>
        </w:rPr>
      </w:pPr>
      <w:r>
        <w:rPr>
          <w:rFonts w:ascii="Wallace Serif;sans-serif" w:hAnsi="Wallace Serif;sans-serif"/>
          <w:b w:val="false"/>
          <w:color w:val="000000"/>
          <w:sz w:val="16"/>
        </w:rPr>
        <w:t>2)2025 Taxes on Earnings includes approximately $160 million in adjustments related to prior recognition of a significant non-cash deferred tax benefit.</w:t>
      </w:r>
    </w:p>
    <w:p>
      <w:pPr>
        <w:pStyle w:val="TextBody"/>
        <w:bidi w:val="0"/>
        <w:spacing w:lineRule="auto" w:line="288" w:before="240" w:after="283"/>
        <w:jc w:val="left"/>
        <w:rPr>
          <w:rFonts w:ascii="Wallace Serif;sans-serif" w:hAnsi="Wallace Serif;sans-serif"/>
          <w:b w:val="false"/>
          <w:color w:val="000000"/>
          <w:sz w:val="20"/>
        </w:rPr>
      </w:pPr>
      <w:r>
        <w:rPr>
          <w:rFonts w:ascii="Wallace Serif;sans-serif" w:hAnsi="Wallace Serif;sans-serif"/>
          <w:b w:val="false"/>
          <w:color w:val="000000"/>
          <w:sz w:val="20"/>
        </w:rPr>
        <w:t>A reconciliation of the year-to-date tax rates for 2026 and 2025 is shown below:</w:t>
      </w:r>
    </w:p>
    <w:p>
      <w:pPr>
        <w:pStyle w:val="TextBody"/>
        <w:bidi w:val="0"/>
        <w:spacing w:before="0" w:after="0"/>
        <w:jc w:val="left"/>
        <w:rPr/>
      </w:pPr>
      <w:r>
        <w:rPr/>
      </w:r>
    </w:p>
    <w:tbl>
      <w:tblPr>
        <w:tblW w:w="6733" w:type="dxa"/>
        <w:jc w:val="left"/>
        <w:tblInd w:w="0" w:type="dxa"/>
        <w:tblLayout w:type="fixed"/>
        <w:tblCellMar>
          <w:top w:w="28" w:type="dxa"/>
          <w:left w:w="28" w:type="dxa"/>
          <w:bottom w:w="28" w:type="dxa"/>
          <w:right w:w="28" w:type="dxa"/>
        </w:tblCellMar>
      </w:tblPr>
      <w:tblGrid>
        <w:gridCol w:w="987"/>
        <w:gridCol w:w="868"/>
        <w:gridCol w:w="874"/>
        <w:gridCol w:w="226"/>
        <w:gridCol w:w="721"/>
        <w:gridCol w:w="109"/>
        <w:gridCol w:w="109"/>
        <w:gridCol w:w="109"/>
        <w:gridCol w:w="109"/>
        <w:gridCol w:w="226"/>
        <w:gridCol w:w="721"/>
        <w:gridCol w:w="109"/>
        <w:gridCol w:w="109"/>
        <w:gridCol w:w="109"/>
        <w:gridCol w:w="109"/>
        <w:gridCol w:w="270"/>
        <w:gridCol w:w="271"/>
        <w:gridCol w:w="325"/>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9M26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Pre-Tax</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Taxes on</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w:t>
              <w:br/>
              <w:t>Rate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As reported (GAAP)</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4,204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30.4</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Specified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Excluding specified items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8,006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15.2</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33" w:type="dxa"/>
        <w:jc w:val="left"/>
        <w:tblInd w:w="0" w:type="dxa"/>
        <w:tblLayout w:type="fixed"/>
        <w:tblCellMar>
          <w:top w:w="28" w:type="dxa"/>
          <w:left w:w="28" w:type="dxa"/>
          <w:bottom w:w="28" w:type="dxa"/>
          <w:right w:w="28" w:type="dxa"/>
        </w:tblCellMar>
      </w:tblPr>
      <w:tblGrid>
        <w:gridCol w:w="987"/>
        <w:gridCol w:w="868"/>
        <w:gridCol w:w="874"/>
        <w:gridCol w:w="226"/>
        <w:gridCol w:w="721"/>
        <w:gridCol w:w="109"/>
        <w:gridCol w:w="109"/>
        <w:gridCol w:w="109"/>
        <w:gridCol w:w="109"/>
        <w:gridCol w:w="226"/>
        <w:gridCol w:w="721"/>
        <w:gridCol w:w="109"/>
        <w:gridCol w:w="109"/>
        <w:gridCol w:w="109"/>
        <w:gridCol w:w="109"/>
        <w:gridCol w:w="270"/>
        <w:gridCol w:w="271"/>
        <w:gridCol w:w="325"/>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9M25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Pre-Tax</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Taxes on</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w:t>
              <w:br/>
              <w:t>Rate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As reported (GAAP)</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6,108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1,360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22.3</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Specified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Excluding specified items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7,676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16.5</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before="0" w:after="0"/>
        <w:ind w:left="0" w:right="0" w:hanging="360"/>
        <w:jc w:val="left"/>
        <w:rPr/>
      </w:pPr>
      <w:r>
        <w:rPr>
          <w:rFonts w:ascii="Wallace Serif;sans-serif" w:hAnsi="Wallace Serif;sans-serif"/>
          <w:b w:val="false"/>
          <w:color w:val="000000"/>
          <w:sz w:val="16"/>
          <w:shd w:fill="FFFFFF" w:val="clear"/>
        </w:rPr>
        <w:t>3)</w:t>
      </w:r>
      <w:r>
        <w:rPr>
          <w:rFonts w:ascii="Wallace Serif;sans-serif" w:hAnsi="Wallace Serif;sans-serif"/>
          <w:b w:val="false"/>
          <w:color w:val="000000"/>
          <w:sz w:val="16"/>
        </w:rPr>
        <w:t>2026 Taxes on Earnings includes the recognition of approximately</w:t>
      </w:r>
      <w:r>
        <w:rPr>
          <w:color w:val="000000"/>
          <w:shd w:fill="FFFFFF" w:val="clear"/>
        </w:rPr>
        <w:t xml:space="preserve"> </w:t>
      </w:r>
      <w:r>
        <w:rPr>
          <w:rFonts w:ascii="Wallace Serif;sans-serif" w:hAnsi="Wallace Serif;sans-serif"/>
          <w:b w:val="false"/>
          <w:color w:val="000000"/>
          <w:sz w:val="16"/>
          <w:shd w:fill="FFFFFF" w:val="clear"/>
        </w:rPr>
        <w:t xml:space="preserve">$95 </w:t>
      </w:r>
      <w:r>
        <w:rPr>
          <w:rFonts w:ascii="Wallace Serif;sans-serif" w:hAnsi="Wallace Serif;sans-serif"/>
          <w:b w:val="false"/>
          <w:color w:val="000000"/>
          <w:sz w:val="16"/>
        </w:rPr>
        <w:t xml:space="preserve">million of net tax expense primarily as a result of the resolution of various tax positions related to prior years. 2026 </w:t>
      </w:r>
      <w:r>
        <w:rPr>
          <w:rFonts w:ascii="Wallace Serif;sans-serif" w:hAnsi="Wallace Serif;sans-serif"/>
          <w:b w:val="false"/>
          <w:color w:val="000000"/>
          <w:sz w:val="16"/>
          <w:shd w:fill="FFFFFF" w:val="clear"/>
        </w:rPr>
        <w:t>Taxes on Earnings also includes approximately $540 million in adjustments related to prior recognition of a significant non-cash deferred tax benefit.</w:t>
      </w:r>
    </w:p>
    <w:p>
      <w:pPr>
        <w:pStyle w:val="TextBody"/>
        <w:bidi w:val="0"/>
        <w:spacing w:before="0" w:after="0"/>
        <w:jc w:val="left"/>
        <w:rPr/>
      </w:pPr>
      <w:r>
        <w:rPr/>
      </w:r>
    </w:p>
    <w:p>
      <w:pPr>
        <w:pStyle w:val="TextBody"/>
        <w:bidi w:val="0"/>
        <w:spacing w:lineRule="auto" w:line="336" w:before="0" w:after="0"/>
        <w:ind w:left="0" w:right="0" w:hanging="360"/>
        <w:jc w:val="left"/>
        <w:rPr/>
      </w:pPr>
      <w:r>
        <w:rPr>
          <w:rFonts w:ascii="Wallace Serif;sans-serif" w:hAnsi="Wallace Serif;sans-serif"/>
          <w:b w:val="false"/>
          <w:color w:val="000000"/>
          <w:sz w:val="16"/>
          <w:shd w:fill="FFFFFF" w:val="clear"/>
        </w:rPr>
        <w:t xml:space="preserve">4)2025 </w:t>
      </w:r>
      <w:r>
        <w:rPr>
          <w:rFonts w:ascii="Wallace Serif;sans-serif" w:hAnsi="Wallace Serif;sans-serif"/>
          <w:b w:val="false"/>
          <w:color w:val="000000"/>
          <w:sz w:val="16"/>
        </w:rPr>
        <w:t>Taxes on Earnings includes the recognition of approximately</w:t>
      </w:r>
      <w:r>
        <w:rPr>
          <w:color w:val="000000"/>
          <w:shd w:fill="FFFFFF" w:val="clear"/>
        </w:rPr>
        <w:t xml:space="preserve"> </w:t>
      </w:r>
      <w:r>
        <w:rPr>
          <w:rFonts w:ascii="Wallace Serif;sans-serif" w:hAnsi="Wallace Serif;sans-serif"/>
          <w:b w:val="false"/>
          <w:color w:val="000000"/>
          <w:sz w:val="16"/>
          <w:shd w:fill="FFFFFF" w:val="clear"/>
        </w:rPr>
        <w:t xml:space="preserve">$90 </w:t>
      </w:r>
      <w:r>
        <w:rPr>
          <w:rFonts w:ascii="Wallace Serif;sans-serif" w:hAnsi="Wallace Serif;sans-serif"/>
          <w:b w:val="false"/>
          <w:color w:val="000000"/>
          <w:sz w:val="16"/>
        </w:rPr>
        <w:t xml:space="preserve">million of net tax benefit as a result of the resolution of various tax positions related to prior years. 2025 </w:t>
      </w:r>
      <w:r>
        <w:rPr>
          <w:rFonts w:ascii="Wallace Serif;sans-serif" w:hAnsi="Wallace Serif;sans-serif"/>
          <w:b w:val="false"/>
          <w:color w:val="000000"/>
          <w:sz w:val="16"/>
          <w:shd w:fill="FFFFFF" w:val="clear"/>
        </w:rPr>
        <w:t>Taxes on Earnings also includes approximately $460 million in adjustments related to prior recognition of a significant non-cash deferred tax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69315"/>
                <wp:effectExtent l="0" t="0" r="0" b="0"/>
                <wp:wrapNone/>
                <wp:docPr id="19" name="Frame18"/>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15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15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Non-GAAP Revenue Reconciliation</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Third Quarter Ended September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 xml:space="preserve">($ in millions) </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0217" w:type="dxa"/>
        <w:jc w:val="center"/>
        <w:tblInd w:w="0" w:type="dxa"/>
        <w:tblLayout w:type="fixed"/>
        <w:tblCellMar>
          <w:top w:w="28" w:type="dxa"/>
          <w:left w:w="28" w:type="dxa"/>
          <w:bottom w:w="28" w:type="dxa"/>
          <w:right w:w="28" w:type="dxa"/>
        </w:tblCellMar>
      </w:tblPr>
      <w:tblGrid>
        <w:gridCol w:w="429"/>
        <w:gridCol w:w="282"/>
        <w:gridCol w:w="250"/>
        <w:gridCol w:w="391"/>
        <w:gridCol w:w="255"/>
        <w:gridCol w:w="256"/>
        <w:gridCol w:w="265"/>
        <w:gridCol w:w="265"/>
        <w:gridCol w:w="266"/>
        <w:gridCol w:w="109"/>
        <w:gridCol w:w="109"/>
        <w:gridCol w:w="325"/>
        <w:gridCol w:w="325"/>
        <w:gridCol w:w="326"/>
        <w:gridCol w:w="109"/>
        <w:gridCol w:w="109"/>
        <w:gridCol w:w="109"/>
        <w:gridCol w:w="391"/>
        <w:gridCol w:w="255"/>
        <w:gridCol w:w="256"/>
        <w:gridCol w:w="300"/>
        <w:gridCol w:w="300"/>
        <w:gridCol w:w="301"/>
        <w:gridCol w:w="300"/>
        <w:gridCol w:w="300"/>
        <w:gridCol w:w="301"/>
        <w:gridCol w:w="325"/>
        <w:gridCol w:w="325"/>
        <w:gridCol w:w="326"/>
        <w:gridCol w:w="137"/>
        <w:gridCol w:w="137"/>
        <w:gridCol w:w="141"/>
        <w:gridCol w:w="278"/>
        <w:gridCol w:w="278"/>
        <w:gridCol w:w="256"/>
        <w:gridCol w:w="109"/>
        <w:gridCol w:w="298"/>
        <w:gridCol w:w="298"/>
        <w:gridCol w:w="425"/>
      </w:tblGrid>
      <w:tr>
        <w:trPr/>
        <w:tc>
          <w:tcPr>
            <w:tcW w:w="4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3Q26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3Q25</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 Change vs. 3Q25</w:t>
            </w:r>
          </w:p>
        </w:tc>
        <w:tc>
          <w:tcPr>
            <w:tcW w:w="1942" w:type="dxa"/>
            <w:gridSpan w:val="7"/>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Non-GAAP</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Abbott Reported</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Abbott Reported</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Impact of acquisition (a)</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 xml:space="preserve">Impact </w:t>
              <w:br/>
              <w:t>of multi-year agreement (b)</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 Revenue</w:t>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Reported</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Company</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13,013 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40 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13,053 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11,369 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851 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12,197 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7.0 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5,504 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5,504 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4,299 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824 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5,100 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7.9 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7,509 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7,549 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7,070 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7,097 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6.4 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Diagnostics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3,305 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3,303 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851 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3,104 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6.4 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1,853 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1,853 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824 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1,710 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8.4 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1,450 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1,394 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Cancer Diagnostics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968 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851 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851 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938 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824 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824 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13.9 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12.1 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Medical Devices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5,826 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5,848 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5,448 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5,425 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2,687 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2,687 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2,498 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7.6 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3,139 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3,161 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2,927 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2,927 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Structural Heart*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596 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557 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6.9 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368 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324 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Abbott's Amplatzer Amulet Left Atrial Appendage Occluder device and related accessories were transferred from Structural Heart to Electrophysiology on January 1, 2026. As a result, $55 million of sales in the third quarter of 2025 were moved from Structural Heart to Electrophysiology.</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a)</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The adjustment includes historical sales for Exact Sciences prior to the acquisition date. Exact Sciences was acquired by Abbott on March 23, 2026.</w:t>
            </w:r>
          </w:p>
          <w:p>
            <w:pPr>
              <w:pStyle w:val="TableContents"/>
              <w:bidi w:val="0"/>
              <w:spacing w:before="0" w:after="0"/>
              <w:jc w:val="left"/>
              <w:rPr/>
            </w:pPr>
            <w:r>
              <w:rPr/>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b)</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Wallace Serif;sans-serif" w:hAnsi="Wallace Serif;sans-serif"/>
                <w:b w:val="false"/>
                <w:color w:val="000000"/>
                <w:sz w:val="16"/>
              </w:rPr>
            </w:pPr>
            <w:r>
              <w:rPr>
                <w:rFonts w:ascii="Wallace Serif;sans-serif" w:hAnsi="Wallace Serif;sans-serif"/>
                <w:b w:val="false"/>
                <w:color w:val="000000"/>
                <w:sz w:val="16"/>
              </w:rPr>
              <w:t>Reflects the impact of compensation payments that Abbott's Structural Heart business received as part of a multi-year agreement with a competitor. The final payment under this agreement was recognized in the first quarter of 2026.</w:t>
            </w:r>
          </w:p>
        </w:tc>
      </w:tr>
    </w:tbl>
    <w:p>
      <w:pPr>
        <w:pStyle w:val="TextBody"/>
        <w:bidi w:val="0"/>
        <w:jc w:val="center"/>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69315"/>
                <wp:effectExtent l="0" t="0" r="0" b="0"/>
                <wp:wrapNone/>
                <wp:docPr id="20" name="Frame19"/>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16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16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Non-GAAP Revenue Reconciliation</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Nine Months Ended September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 xml:space="preserve">($ in millions) </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1766" w:type="dxa"/>
        <w:jc w:val="center"/>
        <w:tblInd w:w="0" w:type="dxa"/>
        <w:tblLayout w:type="fixed"/>
        <w:tblCellMar>
          <w:top w:w="28" w:type="dxa"/>
          <w:left w:w="28" w:type="dxa"/>
          <w:bottom w:w="28" w:type="dxa"/>
          <w:right w:w="28" w:type="dxa"/>
        </w:tblCellMar>
      </w:tblPr>
      <w:tblGrid>
        <w:gridCol w:w="429"/>
        <w:gridCol w:w="282"/>
        <w:gridCol w:w="250"/>
        <w:gridCol w:w="391"/>
        <w:gridCol w:w="255"/>
        <w:gridCol w:w="256"/>
        <w:gridCol w:w="300"/>
        <w:gridCol w:w="300"/>
        <w:gridCol w:w="301"/>
        <w:gridCol w:w="300"/>
        <w:gridCol w:w="300"/>
        <w:gridCol w:w="301"/>
        <w:gridCol w:w="265"/>
        <w:gridCol w:w="265"/>
        <w:gridCol w:w="266"/>
        <w:gridCol w:w="325"/>
        <w:gridCol w:w="325"/>
        <w:gridCol w:w="326"/>
        <w:gridCol w:w="109"/>
        <w:gridCol w:w="109"/>
        <w:gridCol w:w="109"/>
        <w:gridCol w:w="391"/>
        <w:gridCol w:w="255"/>
        <w:gridCol w:w="256"/>
        <w:gridCol w:w="300"/>
        <w:gridCol w:w="300"/>
        <w:gridCol w:w="301"/>
        <w:gridCol w:w="300"/>
        <w:gridCol w:w="300"/>
        <w:gridCol w:w="301"/>
        <w:gridCol w:w="325"/>
        <w:gridCol w:w="325"/>
        <w:gridCol w:w="326"/>
        <w:gridCol w:w="109"/>
        <w:gridCol w:w="109"/>
        <w:gridCol w:w="109"/>
        <w:gridCol w:w="354"/>
        <w:gridCol w:w="206"/>
        <w:gridCol w:w="206"/>
        <w:gridCol w:w="208"/>
        <w:gridCol w:w="298"/>
        <w:gridCol w:w="298"/>
        <w:gridCol w:w="425"/>
      </w:tblGrid>
      <w:tr>
        <w:trPr/>
        <w:tc>
          <w:tcPr>
            <w:tcW w:w="4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9M26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9M25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 Change vs. 9M25</w:t>
            </w:r>
          </w:p>
        </w:tc>
        <w:tc>
          <w:tcPr>
            <w:tcW w:w="1021" w:type="dxa"/>
            <w:gridSpan w:val="3"/>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Non-GAAP</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Abbott Reported</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Impact of acquisition (a)</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 xml:space="preserve">Impact </w:t>
              <w:br/>
              <w:t>of multi-year agreement (b)</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Foreign exchange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Abbott Reported</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Impact of acquisition (a)</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 xml:space="preserve">Impact </w:t>
              <w:br/>
              <w:t>of multi-year agreement (b)</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Reported</w:t>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Company</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36,770 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706 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(460)</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37,008 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32,869 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2,369 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(69)</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35,169 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11.9 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5.2 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14,994 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15,667 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12,743 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2,294 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14,968 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17.7 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4.7 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21,776 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(460)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21,341 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20,126 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20,201 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5.7 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Diagnostics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8,577 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9,183 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6,480 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2,369 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8,849 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32.4 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4,418 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5,099 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2,294 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4,862 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72.0 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4.9 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4,084 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3,912 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3,987 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2.4 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Cancer Diagnostics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1,983 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2,688 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2,369 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2,369 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1,921 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2,602 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2,294 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2,294 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15.0 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Medical Devices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17,218 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(284)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16,926 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15,712 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15,643 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8.2 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7,890 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7,882 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7,363 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7,294 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9,328 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(284)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9,044 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8,349 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8,349 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8.3 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Structural Heart*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1,767 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1,728 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1,623 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669 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684 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1,059 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939 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12.8 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Abbott's Amplatzer Amulet Left Atrial Appendage Occluder device and related accessories were transferred from Structural Heart to Electrophysiology on January 1, 2026. As a result, $156 million of sales in the first nine months of 2025 were moved from Structural Heart to Electrophysiology.</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a)</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The adjustment includes historical sales for Exact Sciences prior to the acquisition date. Exact Sciences was acquired by Abbott on March 23, 2026.</w:t>
            </w:r>
          </w:p>
          <w:p>
            <w:pPr>
              <w:pStyle w:val="TableContents"/>
              <w:bidi w:val="0"/>
              <w:spacing w:before="0" w:after="0"/>
              <w:jc w:val="left"/>
              <w:rPr/>
            </w:pPr>
            <w:r>
              <w:rPr/>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b)</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Wallace Serif;sans-serif" w:hAnsi="Wallace Serif;sans-serif"/>
                <w:b w:val="false"/>
                <w:color w:val="000000"/>
                <w:sz w:val="16"/>
              </w:rPr>
            </w:pPr>
            <w:r>
              <w:rPr>
                <w:rFonts w:ascii="Wallace Serif;sans-serif" w:hAnsi="Wallace Serif;sans-serif"/>
                <w:b w:val="false"/>
                <w:color w:val="000000"/>
                <w:sz w:val="16"/>
              </w:rPr>
              <w:t>Reflects the impact of compensation payments that Abbott's Structural Heart business received as part of a multi-year agreement with a competitor. The final payment under this agreement was recognized in the first quarter of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69315"/>
                <wp:effectExtent l="0" t="0" r="0" b="0"/>
                <wp:wrapNone/>
                <wp:docPr id="21" name="Frame20"/>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17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17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Details of Specified Items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Third Quarter Ended September 30, 2026</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 xml:space="preserve">(in millions, except per share data) </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98"/>
        <w:gridCol w:w="400"/>
        <w:gridCol w:w="403"/>
        <w:gridCol w:w="529"/>
        <w:gridCol w:w="954"/>
        <w:gridCol w:w="257"/>
        <w:gridCol w:w="109"/>
        <w:gridCol w:w="109"/>
        <w:gridCol w:w="109"/>
        <w:gridCol w:w="658"/>
        <w:gridCol w:w="1183"/>
        <w:gridCol w:w="318"/>
        <w:gridCol w:w="109"/>
        <w:gridCol w:w="109"/>
        <w:gridCol w:w="109"/>
        <w:gridCol w:w="393"/>
        <w:gridCol w:w="916"/>
        <w:gridCol w:w="190"/>
        <w:gridCol w:w="109"/>
        <w:gridCol w:w="109"/>
        <w:gridCol w:w="109"/>
        <w:gridCol w:w="230"/>
        <w:gridCol w:w="536"/>
        <w:gridCol w:w="111"/>
        <w:gridCol w:w="109"/>
        <w:gridCol w:w="109"/>
        <w:gridCol w:w="109"/>
        <w:gridCol w:w="252"/>
        <w:gridCol w:w="789"/>
        <w:gridCol w:w="180"/>
      </w:tblGrid>
      <w:tr>
        <w:trPr/>
        <w:tc>
          <w:tcPr>
            <w:tcW w:w="5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Acquisition or Divestiture- related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Restructuring and Cost Reduction Initiatives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Other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Total Specifieds</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29 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841 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904 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(761)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72 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841 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721 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1,689 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 (d)</w:t>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1,557 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0.89 </w:t>
            </w:r>
          </w:p>
        </w:tc>
        <w:tc>
          <w:tcPr>
            <w:tcW w:w="18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The table above provides additional details regarding the specified items described on page 13.</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a)Acquisition-related expenses include integration costs that represent incremental costs directly related to integrating acquired businesses, as well as other costs related to business acquisitions.</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 xml:space="preserve">b)Restructuring and cost reduction initiative expenses include severance, outplacement, and other direct costs associated with specific restructuring plans. </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c)Other primarily includes approximately $670 million related to agreements entered into to resolve the Gill case and the necrotizing enterocolitis (NEC) claims asserted on behalf of approximately 2,000 additional infants, as well as incremental costs to comply with the European Union's Medical Device Regulations (MDR) and In Vitro Diagnostics Medical Device Regulations (IVDR) requirements for previously approved products.</w:t>
      </w:r>
    </w:p>
    <w:p>
      <w:pPr>
        <w:pStyle w:val="TextBody"/>
        <w:bidi w:val="0"/>
        <w:spacing w:before="0" w:after="0"/>
        <w:jc w:val="left"/>
        <w:rPr/>
      </w:pPr>
      <w:r>
        <w:rPr/>
      </w:r>
    </w:p>
    <w:p>
      <w:pPr>
        <w:pStyle w:val="TextBody"/>
        <w:bidi w:val="0"/>
        <w:spacing w:lineRule="auto" w:line="336"/>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d)Reflects the net tax benefit associated with the specified items and recognition of a tax expense as a result of the resolution of various tax positions related to prior years. Taxes on Earnings includes approximately $100 million in adjustments related to prior recognition of a significant non-cash deferred tax benefit.</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69315"/>
                <wp:effectExtent l="0" t="0" r="0" b="0"/>
                <wp:wrapNone/>
                <wp:docPr id="22" name="Frame21"/>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18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18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Details of Specified Items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Third Quarter Ended September 30,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04"/>
        <w:gridCol w:w="406"/>
        <w:gridCol w:w="410"/>
        <w:gridCol w:w="536"/>
        <w:gridCol w:w="967"/>
        <w:gridCol w:w="261"/>
        <w:gridCol w:w="109"/>
        <w:gridCol w:w="109"/>
        <w:gridCol w:w="109"/>
        <w:gridCol w:w="574"/>
        <w:gridCol w:w="1338"/>
        <w:gridCol w:w="279"/>
        <w:gridCol w:w="109"/>
        <w:gridCol w:w="109"/>
        <w:gridCol w:w="109"/>
        <w:gridCol w:w="396"/>
        <w:gridCol w:w="923"/>
        <w:gridCol w:w="191"/>
        <w:gridCol w:w="109"/>
        <w:gridCol w:w="109"/>
        <w:gridCol w:w="109"/>
        <w:gridCol w:w="241"/>
        <w:gridCol w:w="434"/>
        <w:gridCol w:w="116"/>
        <w:gridCol w:w="109"/>
        <w:gridCol w:w="109"/>
        <w:gridCol w:w="109"/>
        <w:gridCol w:w="283"/>
        <w:gridCol w:w="736"/>
        <w:gridCol w:w="202"/>
      </w:tblGrid>
      <w:tr>
        <w:trPr/>
        <w:tc>
          <w:tcPr>
            <w:tcW w:w="6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Acquisition or Divestiture- related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Restructuring and Cost Reduction Initiatives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Other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Total Specifieds</w:t>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470 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106 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548 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 (d)</w:t>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634 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0.36 </w:t>
            </w:r>
          </w:p>
        </w:tc>
        <w:tc>
          <w:tcPr>
            <w:tcW w:w="2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Wallace Serif;sans-serif" w:hAnsi="Wallace Serif;sans-serif"/>
          <w:b w:val="false"/>
          <w:color w:val="000000"/>
          <w:sz w:val="18"/>
        </w:rPr>
      </w:pPr>
      <w:r>
        <w:rPr>
          <w:rFonts w:ascii="Wallace Serif;sans-serif" w:hAnsi="Wallace Serif;sans-serif"/>
          <w:b w:val="false"/>
          <w:color w:val="000000"/>
          <w:sz w:val="18"/>
        </w:rPr>
        <w:t>The table above provides additional details regarding the specified items described on page 13.</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a)Acquisition-related expenses include integration costs, which represent incremental costs directly related to integrating acquired businesses.</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 xml:space="preserve">b)Restructuring and cost reduction initiative expenses include severance, outplacement, and other direct costs associated with specific restructuring plans and cost reduction initiatives. </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c)Other includes incremental costs to comply with the European Union's Medical Device Regulations (MDR) and In Vitro Diagnostics Medical Device Regulations (IVDR) requirements for previously approved products.</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d)Reflects the net tax benefit associated with the specified items. Taxes on Earnings includes approximately $160 million in adjustments related to prior recognition of a significant non-cash deferred tax benefit.</w:t>
      </w:r>
    </w:p>
    <w:p>
      <w:pPr>
        <w:pStyle w:val="TextBody"/>
        <w:bidi w:val="0"/>
        <w:spacing w:before="0" w:after="283"/>
        <w:jc w:val="left"/>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69315"/>
                <wp:effectExtent l="0" t="0" r="0" b="0"/>
                <wp:wrapNone/>
                <wp:docPr id="23" name="Frame22"/>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19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19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Details of Specified Items</w:t>
      </w:r>
    </w:p>
    <w:p>
      <w:pPr>
        <w:pStyle w:val="TextBody"/>
        <w:bidi w:val="0"/>
        <w:spacing w:lineRule="auto" w:line="276"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Nine Months Ended September 30, 2026</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 xml:space="preserve">(in millions, except per share data) </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88"/>
        <w:gridCol w:w="388"/>
        <w:gridCol w:w="391"/>
        <w:gridCol w:w="445"/>
        <w:gridCol w:w="1037"/>
        <w:gridCol w:w="215"/>
        <w:gridCol w:w="109"/>
        <w:gridCol w:w="109"/>
        <w:gridCol w:w="109"/>
        <w:gridCol w:w="550"/>
        <w:gridCol w:w="1283"/>
        <w:gridCol w:w="267"/>
        <w:gridCol w:w="109"/>
        <w:gridCol w:w="109"/>
        <w:gridCol w:w="109"/>
        <w:gridCol w:w="321"/>
        <w:gridCol w:w="1005"/>
        <w:gridCol w:w="155"/>
        <w:gridCol w:w="109"/>
        <w:gridCol w:w="109"/>
        <w:gridCol w:w="109"/>
        <w:gridCol w:w="226"/>
        <w:gridCol w:w="706"/>
        <w:gridCol w:w="109"/>
        <w:gridCol w:w="109"/>
        <w:gridCol w:w="109"/>
        <w:gridCol w:w="109"/>
        <w:gridCol w:w="250"/>
        <w:gridCol w:w="783"/>
        <w:gridCol w:w="178"/>
      </w:tblGrid>
      <w:tr>
        <w:trPr/>
        <w:tc>
          <w:tcPr>
            <w:tcW w:w="5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Acquisition or Divestiture- related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Restructuring and Cost Reduction Initiatives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Other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Total Specifieds</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44 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40 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1,921 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2,033 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(533)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(54)</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(1,662)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604 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113 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1,921 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3,802 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 (d)</w:t>
            </w:r>
          </w:p>
        </w:tc>
        <w:tc>
          <w:tcPr>
            <w:tcW w:w="16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3,864 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2.21 </w:t>
            </w:r>
          </w:p>
        </w:tc>
        <w:tc>
          <w:tcPr>
            <w:tcW w:w="17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The table above provides additional details regarding the specified items described on page 14.</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a)Acquisition-related expenses include stock-based compensation recognized as expense from equity awards accelerated in connection with the Exact Sciences acquisition, integration costs that represent incremental costs directly related to integrating acquired businesses, as well as other costs related to business acquisitions, including inventory step-up amortization.</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 xml:space="preserve">b)Restructuring and cost reduction initiative expenses include severance, outplacement and other direct costs associated with specific restructuring plans. </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c)Other primarily includes approximately $670 million related to agreements entered into to resolve the Gill case and the NEC claims asserted on behalf of approximately 2,000 additional infants; approximately $400 million, including attorneys' fees and accrued interest, related to an agreement to resolve the United States Department of Justice (DOJ) investigations and the civil qui tam lawsuit brought by certain relators and joined by the DOJ and Attorneys General of several states; as well as incremental costs to comply with the European Union's Medical Device Regulations (MDR) and In Vitro Diagnostics Medical Device Regulations (IVDR) requirements for previously approved products.</w:t>
      </w:r>
    </w:p>
    <w:p>
      <w:pPr>
        <w:pStyle w:val="TextBody"/>
        <w:bidi w:val="0"/>
        <w:spacing w:before="0" w:after="0"/>
        <w:jc w:val="left"/>
        <w:rPr/>
      </w:pPr>
      <w:r>
        <w:rPr/>
      </w:r>
    </w:p>
    <w:p>
      <w:pPr>
        <w:pStyle w:val="TextBody"/>
        <w:bidi w:val="0"/>
        <w:spacing w:lineRule="auto" w:line="336"/>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d)Reflects the net tax benefit associated with the specified items and recognition of a tax expense as a result of the resolution of various tax positions related to prior years. Taxes on Earnings includes approximately $540 million in adjustments related to prior recognition of a significant non-cash deferred tax benefit.</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69315"/>
                <wp:effectExtent l="0" t="0" r="0" b="0"/>
                <wp:wrapNone/>
                <wp:docPr id="24" name="Frame23"/>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20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20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Details of Specified Items</w:t>
      </w:r>
    </w:p>
    <w:p>
      <w:pPr>
        <w:pStyle w:val="TextBody"/>
        <w:bidi w:val="0"/>
        <w:spacing w:lineRule="auto" w:line="276"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Nine Months Ended September 30,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06"/>
        <w:gridCol w:w="409"/>
        <w:gridCol w:w="413"/>
        <w:gridCol w:w="549"/>
        <w:gridCol w:w="940"/>
        <w:gridCol w:w="286"/>
        <w:gridCol w:w="109"/>
        <w:gridCol w:w="109"/>
        <w:gridCol w:w="109"/>
        <w:gridCol w:w="591"/>
        <w:gridCol w:w="1306"/>
        <w:gridCol w:w="308"/>
        <w:gridCol w:w="109"/>
        <w:gridCol w:w="109"/>
        <w:gridCol w:w="109"/>
        <w:gridCol w:w="340"/>
        <w:gridCol w:w="997"/>
        <w:gridCol w:w="177"/>
        <w:gridCol w:w="109"/>
        <w:gridCol w:w="109"/>
        <w:gridCol w:w="109"/>
        <w:gridCol w:w="232"/>
        <w:gridCol w:w="397"/>
        <w:gridCol w:w="120"/>
        <w:gridCol w:w="109"/>
        <w:gridCol w:w="109"/>
        <w:gridCol w:w="109"/>
        <w:gridCol w:w="261"/>
        <w:gridCol w:w="763"/>
        <w:gridCol w:w="202"/>
      </w:tblGrid>
      <w:tr>
        <w:trPr/>
        <w:tc>
          <w:tcPr>
            <w:tcW w:w="6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Acquisition or Divestiture- related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Restructuring and Cost Reduction Initiatives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Other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Total Specifieds</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 (d)</w:t>
            </w:r>
          </w:p>
        </w:tc>
        <w:tc>
          <w:tcPr>
            <w:tcW w:w="1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2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Wallace Serif;sans-serif" w:hAnsi="Wallace Serif;sans-serif"/>
          <w:b w:val="false"/>
          <w:color w:val="000000"/>
          <w:sz w:val="18"/>
        </w:rPr>
      </w:pPr>
      <w:r>
        <w:rPr>
          <w:rFonts w:ascii="Wallace Serif;sans-serif" w:hAnsi="Wallace Serif;sans-serif"/>
          <w:b w:val="false"/>
          <w:color w:val="000000"/>
          <w:sz w:val="18"/>
        </w:rPr>
        <w:t>The table above provides additional details regarding the specified items described on page 14.</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a)Acquisition-related expenses include integration costs, which represent incremental costs directly related to integrating acquired businesses, as well as other costs related to business acquisitions.</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 xml:space="preserve">b)Restructuring and cost reduction initiative expenses include severance, outplacement, and other direct costs associated with specific restructuring plans and cost reduction initiatives. </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 xml:space="preserve">c)Other includes incremental costs to comply with the MDR and IVDR regulations for previously approved products and charges for investment impairments. </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d)Reflects the net tax benefit associated with the specified items and recognition of a tax benefit as a result of the resolution of various tax positions related to prior years. Taxes on Earnings includes approximately $460 million in adjustments related to prior recognition of a significant non-cash deferred tax benefit.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14960"/>
                <wp:effectExtent l="0" t="0" r="0" b="0"/>
                <wp:wrapNone/>
                <wp:docPr id="25" name="Frame2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240" w:after="283"/>
                              <w:jc w:val="right"/>
                              <w:rPr>
                                <w:rFonts w:ascii="Wallace Serif;sans-serif" w:hAnsi="Wallace Serif;sans-serif"/>
                                <w:b w:val="false"/>
                                <w:color w:val="000000"/>
                                <w:sz w:val="22"/>
                              </w:rPr>
                            </w:pPr>
                            <w:r>
                              <w:rPr>
                                <w:rFonts w:ascii="Wallace Serif;sans-serif" w:hAnsi="Wallace Serif;sans-serif"/>
                                <w:b w:val="false"/>
                                <w:color w:val="000000"/>
                                <w:sz w:val="22"/>
                              </w:rPr>
                              <w:t>Page 21 of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Wallace Serif;sans-serif" w:hAnsi="Wallace Serif;sans-serif"/>
                          <w:b w:val="false"/>
                          <w:color w:val="000000"/>
                          <w:sz w:val="22"/>
                        </w:rPr>
                      </w:pPr>
                      <w:r>
                        <w:rPr>
                          <w:rFonts w:ascii="Wallace Serif;sans-serif" w:hAnsi="Wallace Serif;sans-serif"/>
                          <w:b w:val="false"/>
                          <w:color w:val="000000"/>
                          <w:sz w:val="22"/>
                        </w:rPr>
                        <w:t>Page 21 of 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Wallace Serif">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6093</Words>
  <Characters>34000</Characters>
  <CharactersWithSpaces>39316</CharactersWithSpaces>
  <Paragraphs>1885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